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C93E3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A1ABB">
        <w:t>1 października 2020 – 30 września 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A0B32">
        <w:rPr>
          <w:rFonts w:ascii="Corbel" w:hAnsi="Corbel"/>
          <w:sz w:val="20"/>
          <w:szCs w:val="20"/>
        </w:rPr>
        <w:t>ok akademicki   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C57B3" w:rsidRDefault="0095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Antyczne źródła kultury europejski</w:t>
            </w:r>
            <w:r w:rsidR="00BD26A5" w:rsidRPr="000C57B3">
              <w:rPr>
                <w:rFonts w:ascii="Corbel" w:hAnsi="Corbel"/>
                <w:b w:val="0"/>
                <w:sz w:val="24"/>
                <w:szCs w:val="24"/>
              </w:rPr>
              <w:t>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C57B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C57B3" w:rsidRDefault="00D642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KM10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0C57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C57B3" w:rsidRDefault="008B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7B3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0C57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57B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C57B3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7B3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E5EDB" w:rsidRDefault="001A7F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E5EDB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E5EDB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E5ED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E5EDB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04859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4859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222EC3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04859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4859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2E5EDB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2E5EDB" w:rsidRDefault="00D642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EDB"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 w:rsidRPr="002E5EDB"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  <w:tr w:rsidR="0085747A" w:rsidRPr="004B7A74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B7A74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7A74"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 w:rsidRPr="004B7A74"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 w:rsidR="004B7A74" w:rsidRPr="004B7A74">
              <w:rPr>
                <w:rFonts w:ascii="Corbel" w:hAnsi="Corbel"/>
                <w:b w:val="0"/>
                <w:sz w:val="24"/>
                <w:szCs w:val="24"/>
              </w:rPr>
              <w:t xml:space="preserve">, dr Jadwiga Skrzypek- </w:t>
            </w:r>
            <w:r w:rsidR="004B7A74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251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D58A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51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B33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6E1E7A"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A5875" w:rsidRPr="00FA5875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</w:rPr>
      </w:pPr>
      <w:r w:rsidRPr="00FA5875">
        <w:rPr>
          <w:rFonts w:ascii="Corbel" w:hAnsi="Corbel"/>
          <w:b w:val="0"/>
        </w:rPr>
        <w:t>Ćwiczenia: zaliczenie z oceną</w:t>
      </w:r>
    </w:p>
    <w:p w:rsidR="00FA5875" w:rsidRPr="00FA5875" w:rsidRDefault="00FA5875" w:rsidP="00FA5875">
      <w:pPr>
        <w:pStyle w:val="Punktygwne"/>
        <w:spacing w:before="0" w:after="0"/>
        <w:ind w:left="708"/>
        <w:rPr>
          <w:rFonts w:ascii="Corbel" w:hAnsi="Corbel"/>
          <w:b w:val="0"/>
        </w:rPr>
      </w:pPr>
      <w:r w:rsidRPr="00FA5875">
        <w:rPr>
          <w:rFonts w:ascii="Corbel" w:hAnsi="Corbel"/>
          <w:b w:val="0"/>
        </w:rPr>
        <w:t>Wykład: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A1672D" w:rsidRDefault="00A1672D" w:rsidP="00DC3990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wiedzą o kulturze na poziomie liceum a także prezentować umiejętność pracy z tekstem literackim i naukowym.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CF150C" w:rsidRDefault="00CF150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CF150C" w:rsidRPr="00AF4A52" w:rsidTr="00465383">
        <w:tc>
          <w:tcPr>
            <w:tcW w:w="675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>Zaznajomienie z podstawową wiedzą dotyczącą kultury w aspekcie jej genezy i rozwoju</w:t>
            </w:r>
          </w:p>
        </w:tc>
      </w:tr>
      <w:tr w:rsidR="00CF150C" w:rsidRPr="00AF4A52" w:rsidTr="00465383">
        <w:tc>
          <w:tcPr>
            <w:tcW w:w="675" w:type="dxa"/>
            <w:vAlign w:val="center"/>
          </w:tcPr>
          <w:p w:rsidR="00CF150C" w:rsidRPr="00CF150C" w:rsidRDefault="00CF150C" w:rsidP="0046538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F15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>Wskazanie źródeł kultury europejskiej oraz świadomość ich znaczenia i wpływu</w:t>
            </w:r>
          </w:p>
        </w:tc>
      </w:tr>
      <w:tr w:rsidR="00CF150C" w:rsidRPr="00AF4A52" w:rsidTr="00465383">
        <w:tc>
          <w:tcPr>
            <w:tcW w:w="675" w:type="dxa"/>
            <w:vAlign w:val="center"/>
          </w:tcPr>
          <w:p w:rsidR="00CF150C" w:rsidRPr="00CF150C" w:rsidRDefault="00CF150C" w:rsidP="0046538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F150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CF150C" w:rsidRPr="00CF150C" w:rsidRDefault="00CF150C" w:rsidP="004653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150C">
              <w:rPr>
                <w:rFonts w:ascii="Corbel" w:hAnsi="Corbel"/>
                <w:b w:val="0"/>
                <w:sz w:val="24"/>
                <w:szCs w:val="24"/>
              </w:rPr>
              <w:t xml:space="preserve">Zdefiniowanie wybranych toposów kultury europejskiej oraz umiejętność zidentyfikowania kontekstu ich pochodzenia </w:t>
            </w:r>
          </w:p>
        </w:tc>
      </w:tr>
    </w:tbl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8170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85747A" w:rsidRPr="0048170A" w:rsidRDefault="0048170A" w:rsidP="0048170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8170A">
              <w:rPr>
                <w:rFonts w:ascii="Corbel" w:hAnsi="Corbel"/>
                <w:sz w:val="24"/>
                <w:szCs w:val="24"/>
              </w:rPr>
              <w:t>Absolwent zna i rozumie metody analizy i interpretacji różnych wytworów kultury</w:t>
            </w:r>
          </w:p>
        </w:tc>
        <w:tc>
          <w:tcPr>
            <w:tcW w:w="1873" w:type="dxa"/>
          </w:tcPr>
          <w:p w:rsidR="0085747A" w:rsidRPr="009C54AE" w:rsidRDefault="00390D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39D6">
              <w:rPr>
                <w:rFonts w:ascii="Corbel" w:hAnsi="Corbel"/>
                <w:color w:val="000000" w:themeColor="text1"/>
                <w:sz w:val="20"/>
                <w:szCs w:val="20"/>
              </w:rPr>
              <w:t>K_W06</w:t>
            </w:r>
          </w:p>
        </w:tc>
      </w:tr>
      <w:tr w:rsidR="00390D46" w:rsidRPr="009C54AE" w:rsidTr="005E6E85">
        <w:tc>
          <w:tcPr>
            <w:tcW w:w="1701" w:type="dxa"/>
          </w:tcPr>
          <w:p w:rsidR="00390D46" w:rsidRPr="009C54AE" w:rsidRDefault="007C71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8170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390D46" w:rsidRPr="0048170A" w:rsidRDefault="0048170A" w:rsidP="0048170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8170A">
              <w:rPr>
                <w:rFonts w:ascii="Corbel" w:hAnsi="Corbel"/>
                <w:sz w:val="24"/>
                <w:szCs w:val="24"/>
              </w:rPr>
              <w:t>Absolwent potrafi</w:t>
            </w:r>
            <w:r w:rsidRPr="0048170A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48170A">
              <w:rPr>
                <w:rFonts w:ascii="Corbel" w:hAnsi="Corbel"/>
                <w:sz w:val="24"/>
                <w:szCs w:val="24"/>
              </w:rPr>
              <w:t>prezentować problemy związane z dziedzinami dotyczącymi komunikacji międzykulturowej, brać udział w debacie</w:t>
            </w:r>
          </w:p>
        </w:tc>
        <w:tc>
          <w:tcPr>
            <w:tcW w:w="1873" w:type="dxa"/>
          </w:tcPr>
          <w:p w:rsidR="00390D46" w:rsidRPr="006639D6" w:rsidRDefault="00390D46" w:rsidP="009C54A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639D6">
              <w:rPr>
                <w:rFonts w:ascii="Corbel" w:hAnsi="Corbel"/>
                <w:color w:val="000000" w:themeColor="text1"/>
                <w:sz w:val="20"/>
                <w:szCs w:val="20"/>
              </w:rPr>
              <w:t>K_U09</w:t>
            </w:r>
          </w:p>
        </w:tc>
      </w:tr>
      <w:tr w:rsidR="00390D46" w:rsidRPr="009C54AE" w:rsidTr="005E6E85">
        <w:tc>
          <w:tcPr>
            <w:tcW w:w="1701" w:type="dxa"/>
          </w:tcPr>
          <w:p w:rsidR="00390D46" w:rsidRPr="009C54AE" w:rsidRDefault="007C71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8170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390D46" w:rsidRPr="0048170A" w:rsidRDefault="0048170A" w:rsidP="0048170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8170A">
              <w:rPr>
                <w:rFonts w:ascii="Corbel" w:hAnsi="Corbel"/>
                <w:sz w:val="24"/>
                <w:szCs w:val="24"/>
              </w:rPr>
              <w:t>Absolwent jest gotów do uznania wpływu różnych zjawisk na komunikację międzykulturową</w:t>
            </w:r>
          </w:p>
        </w:tc>
        <w:tc>
          <w:tcPr>
            <w:tcW w:w="1873" w:type="dxa"/>
          </w:tcPr>
          <w:p w:rsidR="00390D46" w:rsidRPr="006639D6" w:rsidRDefault="00390D46" w:rsidP="009C54A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639D6">
              <w:rPr>
                <w:rFonts w:ascii="Corbel" w:hAnsi="Corbel"/>
                <w:color w:val="000000" w:themeColor="text1"/>
                <w:sz w:val="20"/>
                <w:szCs w:val="20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62FF" w:rsidRPr="00AF4A52" w:rsidTr="00FE62FF">
        <w:tc>
          <w:tcPr>
            <w:tcW w:w="9639" w:type="dxa"/>
          </w:tcPr>
          <w:p w:rsidR="00FE62FF" w:rsidRPr="00AF4A52" w:rsidRDefault="00FE62FF" w:rsidP="00465383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1. Kultura w aspekcie diachronicznym – jej geneza, kształt i rozwój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Determinanty tożsamości kulturowej i określenie jej istoty; motywy samookreślenia – kryzys i konfrontacja. Europa jako „koncepcja” polityczna, ideologiczna, kulturowa, kontynentalna (geograficzna) oraz jako sposób myślenia – jej statyczność i dynamika.  </w:t>
            </w:r>
          </w:p>
          <w:p w:rsidR="00FE62FF" w:rsidRPr="00786C99" w:rsidRDefault="00FE62FF" w:rsidP="00465383">
            <w:pPr>
              <w:spacing w:after="0" w:line="240" w:lineRule="auto"/>
              <w:jc w:val="both"/>
            </w:pPr>
            <w:r>
              <w:t xml:space="preserve">Kulturowo-cywilizacyjne zapośredniczenia: problem centrów i peryferyjności; ewolucja i adaptacja źródeł kultury. Historia kultury jako geneza, formacja i historia znaczeń – „paradygmatów semantycznych”.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2. Zróżnicowanie kultur i ich dynamika</w:t>
            </w:r>
          </w:p>
          <w:p w:rsidR="00FE62FF" w:rsidRPr="007E2E86" w:rsidRDefault="00FE62FF" w:rsidP="00465383">
            <w:pPr>
              <w:spacing w:after="0" w:line="240" w:lineRule="auto"/>
              <w:jc w:val="both"/>
            </w:pPr>
            <w:r>
              <w:t xml:space="preserve">Pojęcie „kręgu kulturowego”: rdzeń aksjologiczny, kultury i subkultury; wartości autonomiczne, zinterpretowane i realizowane. Abstrakcyjno-symboliczne uniwersum kultury (idee, pojęcia, znaki, symbole). Mechanizm przechwytywania symboli. </w:t>
            </w:r>
            <w:r>
              <w:rPr>
                <w:i/>
              </w:rPr>
              <w:t xml:space="preserve">Homogeniczne, </w:t>
            </w:r>
            <w:r w:rsidRPr="00DC4849">
              <w:rPr>
                <w:i/>
              </w:rPr>
              <w:t>homeostatyczne</w:t>
            </w:r>
            <w:r>
              <w:rPr>
                <w:i/>
              </w:rPr>
              <w:t xml:space="preserve">  i heterogeniczne </w:t>
            </w:r>
            <w:r>
              <w:t>systemy kultury w aspekcie ich ekspansji.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3. Kultura europejska jako synteza antycznych tradycji – zarys problemu</w:t>
            </w:r>
          </w:p>
          <w:p w:rsidR="00FE62FF" w:rsidRPr="00E051B6" w:rsidRDefault="00FE62FF" w:rsidP="00465383">
            <w:pPr>
              <w:spacing w:after="0" w:line="240" w:lineRule="auto"/>
              <w:jc w:val="both"/>
            </w:pPr>
            <w:r>
              <w:t xml:space="preserve">Hybrydyczność i synkretyzm kultury europejskiej; przeniknięcie światopoglądu chrześcijańskiego do instytucji politycznych Cesarstwa Rzymskiego (IV w. n.e.); „świat chrześcijański” czyli kompromis pomiędzy pojęciowością judajską i cywilizacją grecko-rzymską.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4. Kultury „</w:t>
            </w:r>
            <w:proofErr w:type="spellStart"/>
            <w:r>
              <w:rPr>
                <w:b/>
              </w:rPr>
              <w:t>pre</w:t>
            </w:r>
            <w:proofErr w:type="spellEnd"/>
            <w:r>
              <w:rPr>
                <w:b/>
              </w:rPr>
              <w:t>-antyczne” (archaiczne) i ich znaczenie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Chiny i podstawowe wyznaczniki cywilizacyjne: pismo, literatura, etykieta. Wierzenia (dualizm światów i </w:t>
            </w:r>
            <w:r>
              <w:lastRenderedPageBreak/>
              <w:t>boskie namaszczenie władcy).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Indie: nauka indyjska i literatura sanskrycka.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i/>
              </w:rPr>
            </w:pPr>
            <w:r>
              <w:t xml:space="preserve">Mezopotamia – Sumerowie i wynalezienie pisma klinowego; państwa-miasta; epos o Gilgameszu; utwory mitologiczne: </w:t>
            </w:r>
            <w:proofErr w:type="spellStart"/>
            <w:r>
              <w:rPr>
                <w:i/>
              </w:rPr>
              <w:t>Enuma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elisz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– poemat o stworzeniu. Babilonia (miasto-państwo): religia (bogowie wypowiadają się przez znaki); prawo babilońskie – </w:t>
            </w:r>
            <w:r>
              <w:rPr>
                <w:i/>
              </w:rPr>
              <w:t>Kodeks Hammurabiego</w:t>
            </w:r>
            <w:r>
              <w:t xml:space="preserve"> i jego wpływ na Stary Testament</w:t>
            </w:r>
            <w:r>
              <w:rPr>
                <w:i/>
              </w:rPr>
              <w:t>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Egipt: Ateny i Jerozolima odwołują się do Egiptu; egipski mit o narodzinach boga-króla jako syna Bożego; egipskie przejście od politeizmu do monoteizmu.</w:t>
            </w:r>
          </w:p>
          <w:p w:rsidR="00FE62FF" w:rsidRPr="005B5350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t xml:space="preserve">Teza F.M. </w:t>
            </w:r>
            <w:proofErr w:type="spellStart"/>
            <w:r>
              <w:t>Cornforda</w:t>
            </w:r>
            <w:proofErr w:type="spellEnd"/>
            <w:r>
              <w:t xml:space="preserve">: teogonia Hezjoda jako „brakujące ogniwo” między babilońskimi i hetyckimi mitami a kosmologią </w:t>
            </w:r>
            <w:proofErr w:type="spellStart"/>
            <w:r>
              <w:t>Anaksymandra</w:t>
            </w:r>
            <w:proofErr w:type="spellEnd"/>
            <w:r>
              <w:t xml:space="preserve">.  </w:t>
            </w:r>
            <w:r>
              <w:rPr>
                <w:i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5. Mit i grecka religijność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Mit jako forma międzypokoleniowej łączności. </w:t>
            </w:r>
            <w:proofErr w:type="spellStart"/>
            <w:r>
              <w:rPr>
                <w:i/>
              </w:rPr>
              <w:t>Mythos</w:t>
            </w:r>
            <w:proofErr w:type="spellEnd"/>
            <w:r>
              <w:t xml:space="preserve">, </w:t>
            </w:r>
            <w:proofErr w:type="spellStart"/>
            <w:r w:rsidRPr="008E60D7">
              <w:rPr>
                <w:i/>
              </w:rPr>
              <w:t>mytheuo</w:t>
            </w:r>
            <w:proofErr w:type="spellEnd"/>
            <w:r>
              <w:t>/</w:t>
            </w:r>
            <w:proofErr w:type="spellStart"/>
            <w:r w:rsidRPr="008E60D7">
              <w:rPr>
                <w:i/>
              </w:rPr>
              <w:t>mytheomai</w:t>
            </w:r>
            <w:proofErr w:type="spellEnd"/>
            <w:r>
              <w:t xml:space="preserve"> – mówić, opowiadać – opowieść, opowiadanie, mowa, słowo. </w:t>
            </w:r>
            <w:proofErr w:type="spellStart"/>
            <w:r w:rsidRPr="008E60D7">
              <w:rPr>
                <w:i/>
              </w:rPr>
              <w:t>Mythologein</w:t>
            </w:r>
            <w:proofErr w:type="spellEnd"/>
            <w:r>
              <w:t xml:space="preserve"> u Platona. Mity: kosmogoniczne, teogoniczne, opowieści o czynach bogów, mity heroiczne. 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Religijność grecka jako sformalizowana obrzędowość, idee, koncepcje, wierzenia i zasady moralne.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Religia: brak objawienia, dogmatów, kasty kapłanów, świętej księgi, </w:t>
            </w:r>
            <w:proofErr w:type="spellStart"/>
            <w:r w:rsidRPr="003F6FAF">
              <w:rPr>
                <w:i/>
              </w:rPr>
              <w:t>mythoi</w:t>
            </w:r>
            <w:proofErr w:type="spellEnd"/>
            <w:r>
              <w:t xml:space="preserve"> jako nośniki tradycji religijnej, bogowie jako moce i jako część świata (kult świata); jedność tego, co naturalne i „nadnaturalne”; religia państwowa i polityczna – przenikająca całe życie społeczne.</w:t>
            </w:r>
          </w:p>
          <w:p w:rsidR="00FE62FF" w:rsidRPr="003F6FAF" w:rsidRDefault="00FE62FF" w:rsidP="00465383">
            <w:pPr>
              <w:spacing w:after="0" w:line="240" w:lineRule="auto"/>
              <w:jc w:val="both"/>
            </w:pPr>
            <w:r>
              <w:t xml:space="preserve">Bogowie olimpijscy; misteria :  eleuzyńskie, dionizyjskie i prywatne – orfickie.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6. Literatura grecka jako refleksja nad człowiekiem</w:t>
            </w:r>
          </w:p>
          <w:p w:rsidR="00FE62FF" w:rsidRPr="00862C23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Okres archaiczny: epika (Homer i Hezjod) – ideał bohatera, ideał rolnika. Liryka ideału indywidualizmu (</w:t>
            </w:r>
            <w:proofErr w:type="spellStart"/>
            <w:r>
              <w:t>Archilloch</w:t>
            </w:r>
            <w:proofErr w:type="spellEnd"/>
            <w:r>
              <w:t xml:space="preserve">, </w:t>
            </w:r>
            <w:proofErr w:type="spellStart"/>
            <w:r>
              <w:t>Alkajos</w:t>
            </w:r>
            <w:proofErr w:type="spellEnd"/>
            <w:r>
              <w:t xml:space="preserve">, Anakreont, Safona, </w:t>
            </w:r>
            <w:proofErr w:type="spellStart"/>
            <w:r>
              <w:t>Teognis</w:t>
            </w:r>
            <w:proofErr w:type="spellEnd"/>
            <w:r>
              <w:t xml:space="preserve">, Simonides, Pindar). Bajki Ezopa. Pisanie historii: Herodot i Tukidydes. Tragedia grecka: Ajschylos, Sofokles, Eurypides.  </w:t>
            </w:r>
          </w:p>
        </w:tc>
      </w:tr>
      <w:tr w:rsidR="00FE62FF" w:rsidRPr="00AF4A52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7. Sztuka jako ekspresja greckiego ducha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Trzy najwyższe wartości (</w:t>
            </w:r>
            <w:r w:rsidRPr="00DB695B">
              <w:t>prawda</w:t>
            </w:r>
            <w:r>
              <w:t>, dobro, piękno); trzy rodzaje czynności i trybów życia (teoria, działanie, twórczość).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Estetyka starożytna: teoria harmonii, miary i proporcji; teorie piękna (matematyczna, subiektywistyczna, funkcjonalistyczna); teorie przeżyć estetycznych.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 w:rsidRPr="00A128D8">
              <w:rPr>
                <w:i/>
              </w:rPr>
              <w:t>Mimesis</w:t>
            </w:r>
            <w:r>
              <w:t xml:space="preserve">, </w:t>
            </w:r>
            <w:r w:rsidRPr="00A128D8">
              <w:rPr>
                <w:i/>
              </w:rPr>
              <w:t>katharsis</w:t>
            </w:r>
            <w:r>
              <w:t>.</w:t>
            </w:r>
          </w:p>
          <w:p w:rsidR="00FE62FF" w:rsidRPr="00DB695B" w:rsidRDefault="00FE62FF" w:rsidP="00465383">
            <w:pPr>
              <w:spacing w:after="0" w:line="240" w:lineRule="auto"/>
              <w:jc w:val="both"/>
            </w:pPr>
            <w:r>
              <w:t xml:space="preserve">Architektura, rzeźba, malarstwo, taniec, muzyka i fenomen greckiej tragedii.    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8. Nauka antyczna – nowy sposób traktowania wiedzy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Wschodnie zapożyczenia: umiejętność prowadzenia rachunków, nawigacja, leczenie, astronomia, arytmetyka, geometria i ich praktyczne zastosowanie. Grecka „rewolucja naukowa” i nadanie im wymiaru spekulatywnego, teoretycznego.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Nowe – „naukowe” podejście Greków, czyli synteza racjonalizmu i religii: 1. Świat to kompatybilny z umysłem kosmos, 2. Kosmos to wyraz wszechobecnej inteligencji, 3. Wieczny porządek wykracza poza doczesną manifestację – widzialny świat ma ukryte znaczenie (racjonalne i mistyczne), 4. Poznanie ukrytej struktury świata zaspokaja potrzeby duszy.</w:t>
            </w:r>
          </w:p>
          <w:p w:rsidR="00FE62FF" w:rsidRPr="00DC3D07" w:rsidRDefault="00FE62FF" w:rsidP="00465383">
            <w:pPr>
              <w:spacing w:after="0" w:line="240" w:lineRule="auto"/>
              <w:jc w:val="both"/>
            </w:pPr>
            <w:r>
              <w:t>Druga tendencja intelektualna: 1. Prawdziwa wiedza dostępna dzięki rozumowi i empirycznej obserwacji, 2. Jedyna prawda jest w świecie ludzkiego doświadczenia, 3. Przyczyny zjawisk są bezosobowe i fizyczne, 4. Teoria weryfikowana empirycznie, 5. Żaden system nie jest ostateczny, wiedza ludzka jest zawodna i względna, krytycyzm.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 Filozofia</w:t>
            </w:r>
          </w:p>
          <w:p w:rsidR="00FE62FF" w:rsidRDefault="00FE62FF" w:rsidP="0046538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Nowa postawa mentalna – zdziwienie, ciekawość i pragnienie poznania. Narodziny filozofii jako dziedziny kultury greckiej. Pytanie o </w:t>
            </w:r>
            <w:r w:rsidRPr="000831DE">
              <w:rPr>
                <w:bCs/>
                <w:i/>
              </w:rPr>
              <w:t>arche</w:t>
            </w:r>
            <w:r>
              <w:rPr>
                <w:bCs/>
              </w:rPr>
              <w:t xml:space="preserve"> i próby rozumiejącego wyjaśnienia świata. Przejście od mitu do </w:t>
            </w:r>
            <w:r w:rsidRPr="000831DE">
              <w:rPr>
                <w:bCs/>
                <w:i/>
              </w:rPr>
              <w:t>logosu</w:t>
            </w:r>
            <w:r>
              <w:rPr>
                <w:bCs/>
              </w:rPr>
              <w:t>. Filozofia jako racjonalizacja rzeczywistości i filozofia jako sztuka życia. Rola filozofii w kulturze i żywotność filozoficznej myśli w dziejach Europy.</w:t>
            </w:r>
          </w:p>
          <w:p w:rsidR="00FE62FF" w:rsidRPr="004115C2" w:rsidRDefault="00FE62FF" w:rsidP="00465383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Filozofia i nowy kształt greckiej etyki. Sokrates i intelektualizm etyczny; relatywizm sofistów; Dobro Platona i dzielność etyczna Arystotelesa.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10. Antyczne koncepcje społeczno-polityczne</w:t>
            </w:r>
          </w:p>
          <w:p w:rsidR="00FE62FF" w:rsidRPr="00807749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Teorie ustrojów politycznych. Demokracja ateńska i ideał obywatelski. </w:t>
            </w:r>
            <w:r>
              <w:rPr>
                <w:i/>
              </w:rPr>
              <w:t>Polis</w:t>
            </w:r>
            <w:r>
              <w:t xml:space="preserve"> – nowa przestrzeń społeczna. Medyczne antecedencje koncepcji politycznych. Podstawowe wolności i prawa człowieka – ideał wolnego obywatela. Prawa i obowiązku obywatela. </w:t>
            </w:r>
            <w:r w:rsidRPr="00807749">
              <w:rPr>
                <w:i/>
              </w:rPr>
              <w:t>Agora</w:t>
            </w:r>
            <w:r>
              <w:t xml:space="preserve"> – środowisko życia publicznego. Słowo-dialog-</w:t>
            </w:r>
            <w:r>
              <w:lastRenderedPageBreak/>
              <w:t xml:space="preserve">perswazja; rola pisma. Sposoby uczestnictwa w życiu społecznym. </w:t>
            </w:r>
            <w:proofErr w:type="spellStart"/>
            <w:r w:rsidRPr="00807749">
              <w:rPr>
                <w:i/>
              </w:rPr>
              <w:t>Zoon</w:t>
            </w:r>
            <w:proofErr w:type="spellEnd"/>
            <w:r w:rsidRPr="00807749">
              <w:rPr>
                <w:i/>
              </w:rPr>
              <w:t xml:space="preserve"> </w:t>
            </w:r>
            <w:proofErr w:type="spellStart"/>
            <w:r w:rsidRPr="00807749">
              <w:rPr>
                <w:i/>
              </w:rPr>
              <w:t>politikon</w:t>
            </w:r>
            <w:proofErr w:type="spellEnd"/>
            <w:r>
              <w:t xml:space="preserve"> – racje i konsekwencje.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11. Grecka </w:t>
            </w:r>
            <w:proofErr w:type="spellStart"/>
            <w:r w:rsidRPr="001C08C0">
              <w:rPr>
                <w:b/>
                <w:i/>
              </w:rPr>
              <w:t>paideia</w:t>
            </w:r>
            <w:proofErr w:type="spellEnd"/>
            <w:r>
              <w:rPr>
                <w:b/>
              </w:rPr>
              <w:t xml:space="preserve"> fundamentem europejskiej tradycji wychowawczej</w:t>
            </w:r>
          </w:p>
          <w:p w:rsidR="00FE62FF" w:rsidRPr="001C08C0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Sofiści i problem nauczania </w:t>
            </w:r>
            <w:proofErr w:type="spellStart"/>
            <w:r w:rsidRPr="001C08C0">
              <w:rPr>
                <w:i/>
              </w:rPr>
              <w:t>arete</w:t>
            </w:r>
            <w:proofErr w:type="spellEnd"/>
            <w:r>
              <w:t xml:space="preserve">. </w:t>
            </w:r>
            <w:r w:rsidRPr="001C08C0">
              <w:rPr>
                <w:i/>
              </w:rPr>
              <w:t>Kalokagathia</w:t>
            </w:r>
            <w:r>
              <w:t xml:space="preserve">. </w:t>
            </w:r>
            <w:proofErr w:type="spellStart"/>
            <w:r w:rsidRPr="001C08C0">
              <w:rPr>
                <w:i/>
              </w:rPr>
              <w:t>Paideia</w:t>
            </w:r>
            <w:proofErr w:type="spellEnd"/>
            <w:r>
              <w:t xml:space="preserve"> jako metoda dojścia do pełni i doskonałości człowieczeństwa. Filozofia człowieka i etyka u podstaw wychowania. Różne modele wychowawcze: </w:t>
            </w:r>
            <w:proofErr w:type="spellStart"/>
            <w:r w:rsidRPr="00816E51">
              <w:rPr>
                <w:i/>
              </w:rPr>
              <w:t>arete</w:t>
            </w:r>
            <w:proofErr w:type="spellEnd"/>
            <w:r>
              <w:t xml:space="preserve"> heroiczna, obyczajowa, prawnicza, polityczna, indywidualna, obywatelska, ludzi szlachetnych, ubóstwiona, jako piękno moralne, jako zdrowie duszy, zdemokratyzowana.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12. Rzym okresu republiki oraz cesarstwa</w:t>
            </w:r>
          </w:p>
          <w:p w:rsidR="00FE62FF" w:rsidRPr="006E716D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Prawo rzymskie i sądy – podstawowe wartości i wolności obywatelskie (żyć godnie, nie szkodzić drugiemu, dać każdemu, co mu się należy). Organizacja sądów, wojska i miast. Ekspansja polityczna, militarna, architektoniczna. Medycyna i poszerzenie katalogu </w:t>
            </w:r>
            <w:r>
              <w:rPr>
                <w:i/>
              </w:rPr>
              <w:t>siedmiu sztuk wyzwolonych.</w:t>
            </w:r>
            <w:r>
              <w:t xml:space="preserve"> Mitologia, religia, igrzyska, teatr i sport. Alfabet łaciński i literatura  rzymska, historia, retoryka.  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Pr="005F38D3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13. </w:t>
            </w:r>
            <w:r w:rsidRPr="00DF219E">
              <w:rPr>
                <w:b/>
              </w:rPr>
              <w:t xml:space="preserve">Tradycja judeochrześcijańska i dziedzictwo </w:t>
            </w:r>
            <w:r w:rsidRPr="00DF219E">
              <w:rPr>
                <w:b/>
                <w:i/>
              </w:rPr>
              <w:t>Biblii</w:t>
            </w:r>
            <w:r>
              <w:rPr>
                <w:b/>
              </w:rPr>
              <w:t>. Zmiana obrazu świata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 xml:space="preserve">Religia jako </w:t>
            </w:r>
            <w:proofErr w:type="spellStart"/>
            <w:r w:rsidRPr="002A46EC">
              <w:rPr>
                <w:i/>
              </w:rPr>
              <w:t>protoforma</w:t>
            </w:r>
            <w:proofErr w:type="spellEnd"/>
            <w:r>
              <w:t xml:space="preserve"> kultury. Kultura żydowska a judaizm, cywilizacja zachodu a chrześcijaństwo, cywilizacja arabska a islam. Religie „Księgi”.</w:t>
            </w:r>
          </w:p>
          <w:p w:rsidR="00FE62FF" w:rsidRDefault="00FE62FF" w:rsidP="00465383">
            <w:pPr>
              <w:spacing w:after="0" w:line="240" w:lineRule="auto"/>
              <w:jc w:val="both"/>
            </w:pPr>
            <w:r>
              <w:t>Monoteizm; Objawienie; transcendencja Boga i Trójca Święta; dogmatyka; nauczanie i wiara; nurty platońsko-</w:t>
            </w:r>
            <w:proofErr w:type="spellStart"/>
            <w:r>
              <w:t>augustyńskie</w:t>
            </w:r>
            <w:proofErr w:type="spellEnd"/>
            <w:r>
              <w:t xml:space="preserve"> i arystotelesowsko-tomistyczne w filozofii i teologii chrześcijańskiej. </w:t>
            </w:r>
          </w:p>
          <w:p w:rsidR="00FE62FF" w:rsidRPr="00E13D1B" w:rsidRDefault="00FE62FF" w:rsidP="00465383">
            <w:pPr>
              <w:spacing w:after="0" w:line="240" w:lineRule="auto"/>
              <w:jc w:val="both"/>
            </w:pPr>
            <w:r>
              <w:t xml:space="preserve">Problem „początku” – </w:t>
            </w:r>
            <w:proofErr w:type="spellStart"/>
            <w:r>
              <w:rPr>
                <w:i/>
              </w:rPr>
              <w:t>c</w:t>
            </w:r>
            <w:r w:rsidRPr="00E13D1B">
              <w:rPr>
                <w:i/>
              </w:rPr>
              <w:t>r</w:t>
            </w:r>
            <w:r>
              <w:rPr>
                <w:i/>
              </w:rPr>
              <w:t>e</w:t>
            </w:r>
            <w:r w:rsidRPr="00E13D1B">
              <w:rPr>
                <w:i/>
              </w:rPr>
              <w:t>atio</w:t>
            </w:r>
            <w:proofErr w:type="spellEnd"/>
            <w:r w:rsidRPr="00E13D1B">
              <w:rPr>
                <w:i/>
              </w:rPr>
              <w:t xml:space="preserve"> ex </w:t>
            </w:r>
            <w:proofErr w:type="spellStart"/>
            <w:r w:rsidRPr="00E13D1B">
              <w:rPr>
                <w:i/>
              </w:rPr>
              <w:t>nihilo</w:t>
            </w:r>
            <w:proofErr w:type="spellEnd"/>
            <w:r>
              <w:t>; czas linearny i koniec dziejów; osoba; wiara i rozum; kreacjonizm; sacrum i profanum; natura jako odzwierciedlenie prawdziwej rzeczywistości.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Pr="005F38D3" w:rsidRDefault="00FE62FF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14. </w:t>
            </w:r>
            <w:r w:rsidRPr="00DF219E">
              <w:rPr>
                <w:b/>
              </w:rPr>
              <w:t xml:space="preserve">Tradycja judeochrześcijańska i dziedzictwo </w:t>
            </w:r>
            <w:r w:rsidRPr="00DF219E">
              <w:rPr>
                <w:b/>
                <w:i/>
              </w:rPr>
              <w:t>Biblii</w:t>
            </w:r>
            <w:r>
              <w:rPr>
                <w:b/>
              </w:rPr>
              <w:t>. Nowa moralność</w:t>
            </w:r>
          </w:p>
          <w:p w:rsidR="00FE62FF" w:rsidRPr="00E13D1B" w:rsidRDefault="00FE62FF" w:rsidP="00465383">
            <w:pPr>
              <w:spacing w:after="0" w:line="240" w:lineRule="auto"/>
              <w:jc w:val="both"/>
            </w:pPr>
            <w:r>
              <w:t xml:space="preserve">Bóg osobowy i transcendentny (relacja ojcowska, synowska i braterska); </w:t>
            </w:r>
            <w:r w:rsidRPr="00E13D1B">
              <w:rPr>
                <w:i/>
              </w:rPr>
              <w:t>Dekalog</w:t>
            </w:r>
            <w:r>
              <w:t xml:space="preserve"> – powinności wobec Boga, siebie i drugiego; nowa relacja i nowy fundament etyczny: miłość bliźniego (</w:t>
            </w:r>
            <w:r w:rsidRPr="006141C4">
              <w:rPr>
                <w:i/>
              </w:rPr>
              <w:t>agape</w:t>
            </w:r>
            <w:r>
              <w:t xml:space="preserve">) i miłosierdzie. Odkupienie; zbawienie; eschatologia: niebo (nagroda), czyściec, piekło (kara) i ich antyczne antecedencje. Bóg jako dawca życia; Opatrzność. Życie ludzkie jako pielgrzymka. Śmierć jako przejście do nowego życia. </w:t>
            </w:r>
          </w:p>
        </w:tc>
      </w:tr>
      <w:tr w:rsidR="00FE62FF" w:rsidRPr="00D53C81" w:rsidTr="00FE62FF">
        <w:tc>
          <w:tcPr>
            <w:tcW w:w="9639" w:type="dxa"/>
          </w:tcPr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15. Antyczne toposy (symbole) i archetypy (</w:t>
            </w:r>
            <w:proofErr w:type="spellStart"/>
            <w:r>
              <w:rPr>
                <w:b/>
              </w:rPr>
              <w:t>prawzorce</w:t>
            </w:r>
            <w:proofErr w:type="spellEnd"/>
            <w:r>
              <w:rPr>
                <w:b/>
              </w:rPr>
              <w:t>, paradygmaty) jako tworzywo europejskiej kultury i sztuki</w:t>
            </w:r>
          </w:p>
          <w:p w:rsidR="00FE62FF" w:rsidRPr="004858AA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Ukryty sens świata i odkrywanie przez symbol. Obraz i wymykające się bezpośrednie doświadczenie. Znak i specyfika symbolu. Symbole jako warstwy światopoglądu – </w:t>
            </w:r>
            <w:proofErr w:type="spellStart"/>
            <w:r>
              <w:t>prasymbole</w:t>
            </w:r>
            <w:proofErr w:type="spellEnd"/>
            <w:r>
              <w:t xml:space="preserve"> i warstwy głębokie (światło, ciemność, woda, ogień, drzewo, góra, droga, jaskinia).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Archetypy: Niobe, Prometeusz, Dedal, Ikar, Narcyz.</w:t>
            </w:r>
          </w:p>
          <w:p w:rsidR="00FE62FF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Toposy: chaos, Parnas, Labirynt, Hades, Tartar, Wyspy Szczęśliwe, Pola Elizejskie, Arkadia.</w:t>
            </w:r>
          </w:p>
          <w:p w:rsidR="00FE62FF" w:rsidRPr="00BD29C7" w:rsidRDefault="00FE62FF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>Wybrane symbole tradycji Judeo-chrześcijańskiej: baranek, brama, dom, kamień, kielich, królestwo, krzyż, ofiara, ołtarz, pasterz, pustynia, wąż.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72847" w:rsidRDefault="0085747A" w:rsidP="0057284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2847" w:rsidRPr="00AF4A52" w:rsidTr="00572847">
        <w:tc>
          <w:tcPr>
            <w:tcW w:w="9639" w:type="dxa"/>
          </w:tcPr>
          <w:p w:rsidR="00572847" w:rsidRPr="00AF4A52" w:rsidRDefault="00572847" w:rsidP="00465383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  <w:r>
              <w:t xml:space="preserve"> (ćwiczenia)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1. Ocalić przeszłość – czyli dziedzictwo, tradycja i pamięć historyczna</w:t>
            </w:r>
          </w:p>
          <w:p w:rsidR="00572847" w:rsidRDefault="00572847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Dziedzictwo jako forma posiadania przeszłości i jako symboliczna forma posiadania tożsamości (świadomości przynależności); budowanie przeszłości i transmisja dziedzictwa; dziedzictwo jako dobro kultury; miejsca pamięci i narracja o przeszłości; specyfika ponowoczesnej narracji historycznej (perswazyjność, subiektywność, fragmentaryczność, lokalność, ambiwalencja). Konstruowanie dziedzictwa – utrata i troska. </w:t>
            </w:r>
          </w:p>
          <w:p w:rsidR="00572847" w:rsidRPr="00557014" w:rsidRDefault="00572847" w:rsidP="00465383">
            <w:pPr>
              <w:pStyle w:val="Akapitzlist"/>
              <w:spacing w:after="0" w:line="240" w:lineRule="auto"/>
              <w:ind w:left="0"/>
              <w:jc w:val="both"/>
            </w:pPr>
            <w:r>
              <w:t xml:space="preserve">Kowalski K., </w:t>
            </w:r>
            <w:r>
              <w:rPr>
                <w:i/>
              </w:rPr>
              <w:t>O istocie dziedzictwa europejskiego – rozważania</w:t>
            </w:r>
            <w:r>
              <w:t xml:space="preserve">, Międzynarodowe Centrum Kultury, Kraków 2013, s. 79-112 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Pr="0045418D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2. Jak myśleli Grecy? Znaczenie i rozumienie – problem przekazu idei kulturowych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Teza W.K.C. </w:t>
            </w:r>
            <w:proofErr w:type="spellStart"/>
            <w:r>
              <w:t>Guthrie</w:t>
            </w:r>
            <w:proofErr w:type="spellEnd"/>
            <w:r>
              <w:t xml:space="preserve">: idee greckie spotykane w galerii „krzywych luster”. Charakterystyczne cechy i różnice greckiego sposób umyślenia. Rola języka – historia i znaczenie pojęć. Przykłady: </w:t>
            </w:r>
            <w:proofErr w:type="spellStart"/>
            <w:r w:rsidRPr="00E1299E">
              <w:rPr>
                <w:i/>
              </w:rPr>
              <w:t>dike</w:t>
            </w:r>
            <w:proofErr w:type="spellEnd"/>
            <w:r>
              <w:t xml:space="preserve">, </w:t>
            </w:r>
            <w:proofErr w:type="spellStart"/>
            <w:r w:rsidRPr="00E1299E">
              <w:rPr>
                <w:i/>
              </w:rPr>
              <w:t>arete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theo</w:t>
            </w:r>
            <w:r w:rsidRPr="00E1299E">
              <w:rPr>
                <w:i/>
              </w:rPr>
              <w:t>s</w:t>
            </w:r>
            <w:proofErr w:type="spellEnd"/>
            <w:r>
              <w:t xml:space="preserve">. Teza </w:t>
            </w:r>
            <w:proofErr w:type="spellStart"/>
            <w:r>
              <w:t>Levy-Bruhl’a</w:t>
            </w:r>
            <w:proofErr w:type="spellEnd"/>
            <w:r>
              <w:t xml:space="preserve"> o „mentalności </w:t>
            </w:r>
            <w:proofErr w:type="spellStart"/>
            <w:r>
              <w:t>przedlogicznej</w:t>
            </w:r>
            <w:proofErr w:type="spellEnd"/>
            <w:r>
              <w:t>”.</w:t>
            </w:r>
          </w:p>
          <w:p w:rsidR="00572847" w:rsidRPr="00AF4A52" w:rsidRDefault="00572847" w:rsidP="00465383">
            <w:pPr>
              <w:spacing w:after="0" w:line="240" w:lineRule="auto"/>
              <w:jc w:val="both"/>
            </w:pPr>
            <w:proofErr w:type="spellStart"/>
            <w:r>
              <w:t>Guthrie</w:t>
            </w:r>
            <w:proofErr w:type="spellEnd"/>
            <w:r>
              <w:t xml:space="preserve"> W.K.C., </w:t>
            </w:r>
            <w:r>
              <w:rPr>
                <w:i/>
              </w:rPr>
              <w:t>Filozofowie greccy od Talesa do Arystotelesa</w:t>
            </w:r>
            <w:r>
              <w:t xml:space="preserve">, przeł. A. Pawelec, Znak, Kraków 1996, s. 5-20  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3. Europa wartości – podstawowe cechy intelektualizmu europejskiego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Problem absolutyzmu i uniwersalizmu wartości; Prawda, Dobro, Piękno; „chrześcijaństwo cywilizacyjne” w procesie duchowego rozwoju ludzkości; indywidualizm liberalny jako zaprzeczenie absolutyzmu </w:t>
            </w:r>
            <w:r>
              <w:lastRenderedPageBreak/>
              <w:t>wartości – problem wolności.</w:t>
            </w:r>
          </w:p>
          <w:p w:rsidR="00572847" w:rsidRPr="00E2675A" w:rsidRDefault="00572847" w:rsidP="00465383">
            <w:pPr>
              <w:spacing w:after="0" w:line="240" w:lineRule="auto"/>
              <w:jc w:val="both"/>
            </w:pPr>
            <w:r>
              <w:t xml:space="preserve">Grzegorczyk A., </w:t>
            </w:r>
            <w:r>
              <w:rPr>
                <w:i/>
              </w:rPr>
              <w:t>Europa wartości</w:t>
            </w:r>
            <w:r>
              <w:t xml:space="preserve">, w: M. Jędraszewski, M. Loba, D. </w:t>
            </w:r>
            <w:proofErr w:type="spellStart"/>
            <w:r>
              <w:t>Jewdokimow</w:t>
            </w:r>
            <w:proofErr w:type="spellEnd"/>
            <w:r>
              <w:t xml:space="preserve"> (red.), </w:t>
            </w:r>
            <w:r>
              <w:rPr>
                <w:i/>
              </w:rPr>
              <w:t>Fenomen ducha Europy</w:t>
            </w:r>
            <w:r>
              <w:t xml:space="preserve">, Wydawnictwo Naukowe UAM, Poznań 2010, s. 11-32 </w:t>
            </w:r>
            <w:r>
              <w:rPr>
                <w:b/>
              </w:rPr>
              <w:t xml:space="preserve">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Pr="00800E65" w:rsidRDefault="00572847" w:rsidP="00465383">
            <w:pPr>
              <w:spacing w:after="0" w:line="240" w:lineRule="auto"/>
              <w:jc w:val="both"/>
              <w:rPr>
                <w:b/>
              </w:rPr>
            </w:pPr>
            <w:r w:rsidRPr="00800E65">
              <w:rPr>
                <w:b/>
              </w:rPr>
              <w:lastRenderedPageBreak/>
              <w:t>4. Dzieje filozofii jako dziedziny kultury</w:t>
            </w:r>
          </w:p>
          <w:p w:rsidR="00572847" w:rsidRPr="00800E65" w:rsidRDefault="00572847" w:rsidP="00465383">
            <w:pPr>
              <w:spacing w:after="0" w:line="240" w:lineRule="auto"/>
              <w:jc w:val="both"/>
            </w:pPr>
            <w:r w:rsidRPr="00800E65">
              <w:t xml:space="preserve">Filozofowanie jako uniwersalny sposób bycia człowieka i filozofia jako konieczny element kultury. Kulturowe uwarunkowania genezy filozofii i ewolucja jej roli jako dyscypliny kulturotwórczej. Kultury filozoficzne i niefilozoficzne. </w:t>
            </w:r>
          </w:p>
          <w:p w:rsidR="00572847" w:rsidRPr="007774EE" w:rsidRDefault="00572847" w:rsidP="00465383">
            <w:pPr>
              <w:spacing w:after="0" w:line="240" w:lineRule="auto"/>
              <w:jc w:val="both"/>
            </w:pPr>
            <w:r w:rsidRPr="00800E65">
              <w:t xml:space="preserve">Zachariasz A.L., </w:t>
            </w:r>
            <w:r w:rsidRPr="00800E65">
              <w:rPr>
                <w:i/>
              </w:rPr>
              <w:t>Filozofia. Jej istota i funkcje</w:t>
            </w:r>
            <w:r w:rsidRPr="00800E65">
              <w:t>, Wydawnictwo Uniwersytetu Rzeszowskiego, Rzeszów 2002, s. 19-27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ind w:right="77"/>
              <w:rPr>
                <w:b/>
              </w:rPr>
            </w:pPr>
            <w:r w:rsidRPr="00EF2BAB">
              <w:rPr>
                <w:b/>
              </w:rPr>
              <w:t xml:space="preserve">5. </w:t>
            </w:r>
            <w:r>
              <w:rPr>
                <w:b/>
              </w:rPr>
              <w:t xml:space="preserve">Mit – łącznik tradycji i współczesności. Symbolika i hermeneutyka </w:t>
            </w:r>
            <w:r>
              <w:rPr>
                <w:b/>
                <w:i/>
              </w:rPr>
              <w:t>Mitu Syzyfa</w:t>
            </w:r>
            <w:r>
              <w:rPr>
                <w:b/>
              </w:rPr>
              <w:t xml:space="preserve"> Alberta Camus</w:t>
            </w:r>
          </w:p>
          <w:p w:rsidR="00572847" w:rsidRDefault="00572847" w:rsidP="00465383">
            <w:pPr>
              <w:spacing w:after="0" w:line="240" w:lineRule="auto"/>
              <w:ind w:right="77"/>
            </w:pPr>
            <w:r>
              <w:t xml:space="preserve">Absurd i samobójstwo; absurdalne mury – człowiek rozdarty; absurdalna logika i samobójstwo filozoficzne; wolność absurdalna – żyć i myśleć w rozdarciu; człowiek absurdalny; twórczość absurdalna; </w:t>
            </w:r>
          </w:p>
          <w:p w:rsidR="00572847" w:rsidRPr="00577B97" w:rsidRDefault="00572847" w:rsidP="00465383">
            <w:pPr>
              <w:spacing w:after="0" w:line="240" w:lineRule="auto"/>
              <w:ind w:right="77"/>
            </w:pPr>
            <w:r>
              <w:t xml:space="preserve">Camus A., </w:t>
            </w:r>
            <w:r>
              <w:rPr>
                <w:i/>
              </w:rPr>
              <w:t>Mit Syzyfa</w:t>
            </w:r>
            <w:r>
              <w:t xml:space="preserve">, w: tenże, </w:t>
            </w:r>
            <w:r>
              <w:rPr>
                <w:i/>
              </w:rPr>
              <w:t>Mit Syzyfa i inne eseje</w:t>
            </w:r>
            <w:r>
              <w:t xml:space="preserve">, przeł. J. </w:t>
            </w:r>
            <w:proofErr w:type="spellStart"/>
            <w:r>
              <w:t>Guze</w:t>
            </w:r>
            <w:proofErr w:type="spellEnd"/>
            <w:r>
              <w:t>, Muza, Warszawa 1999, s. 58-149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6. Antyczna eschatologia – mityczne wyobrażenia śmierci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>Dusza, Dionizos i homerycki Hades i Pola Elizejskie. Demokryt i Platon na temat śmierci.</w:t>
            </w:r>
            <w:r>
              <w:rPr>
                <w:b/>
              </w:rPr>
              <w:t xml:space="preserve"> </w:t>
            </w:r>
            <w:r w:rsidRPr="00F833DF">
              <w:t>Problem nieśmiertelności</w:t>
            </w:r>
            <w:r>
              <w:t xml:space="preserve"> i pośmiertne losy duszy</w:t>
            </w:r>
            <w:r w:rsidRPr="00F833DF">
              <w:t>.</w:t>
            </w:r>
            <w:r>
              <w:rPr>
                <w:b/>
              </w:rPr>
              <w:t xml:space="preserve"> </w:t>
            </w:r>
            <w:r>
              <w:t xml:space="preserve">Kult zmarłych i Hermes </w:t>
            </w:r>
            <w:proofErr w:type="spellStart"/>
            <w:r>
              <w:t>Psychopompos</w:t>
            </w:r>
            <w:proofErr w:type="spellEnd"/>
            <w:r>
              <w:t>.</w:t>
            </w:r>
          </w:p>
          <w:p w:rsidR="00572847" w:rsidRPr="00220211" w:rsidRDefault="00572847" w:rsidP="00465383">
            <w:pPr>
              <w:spacing w:after="0" w:line="240" w:lineRule="auto"/>
              <w:jc w:val="both"/>
            </w:pPr>
            <w:proofErr w:type="spellStart"/>
            <w:r>
              <w:t>Lengauer</w:t>
            </w:r>
            <w:proofErr w:type="spellEnd"/>
            <w:r>
              <w:t xml:space="preserve"> W., </w:t>
            </w:r>
            <w:r>
              <w:rPr>
                <w:i/>
              </w:rPr>
              <w:t>Religijność starożytnych Greków</w:t>
            </w:r>
            <w:r>
              <w:t xml:space="preserve">, PWN, Warszawa 1994, s. 181-206 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7. Unia Europejska – integracja kultury? Pytanie o wartości i wzorce kulturowe zjednoczonej Europy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Indywidualizacja a odpowiedzialność; problem samoidentyfikacji i poczucia tożsamości. Art. 6 </w:t>
            </w:r>
            <w:r w:rsidRPr="00D6392C">
              <w:rPr>
                <w:i/>
              </w:rPr>
              <w:t>Traktatu</w:t>
            </w:r>
            <w:r>
              <w:t xml:space="preserve"> </w:t>
            </w:r>
            <w:r w:rsidRPr="00D6392C">
              <w:rPr>
                <w:i/>
              </w:rPr>
              <w:t>europejskiego</w:t>
            </w:r>
            <w:r>
              <w:t>: wolność, demokracja, szacunek dla praw człowieka, rządy prawa. Integracja a tradycyjne wartości: wspólnota kultury</w:t>
            </w:r>
            <w:r>
              <w:rPr>
                <w:b/>
              </w:rPr>
              <w:t xml:space="preserve">, </w:t>
            </w:r>
            <w:r>
              <w:t>Europa konstytucjonalnego patriotyzmu.</w:t>
            </w:r>
          </w:p>
          <w:p w:rsidR="00572847" w:rsidRPr="000709ED" w:rsidRDefault="00572847" w:rsidP="00465383">
            <w:pPr>
              <w:spacing w:after="0" w:line="240" w:lineRule="auto"/>
              <w:jc w:val="both"/>
            </w:pPr>
            <w:r>
              <w:t xml:space="preserve">Więckowski P., </w:t>
            </w:r>
            <w:r>
              <w:rPr>
                <w:i/>
              </w:rPr>
              <w:t>Wartości Europy</w:t>
            </w:r>
            <w:r>
              <w:t xml:space="preserve">, w: K. Żukrowska (red.), </w:t>
            </w:r>
            <w:r>
              <w:rPr>
                <w:i/>
              </w:rPr>
              <w:t>Co dzieli, co integruje Wspólnotę Europejską?</w:t>
            </w:r>
            <w:r>
              <w:t>, SGH, Warszawa 2007, s. 431-440</w:t>
            </w:r>
          </w:p>
        </w:tc>
      </w:tr>
      <w:tr w:rsidR="00572847" w:rsidRPr="00AF4A52" w:rsidTr="00572847">
        <w:tc>
          <w:tcPr>
            <w:tcW w:w="9639" w:type="dxa"/>
          </w:tcPr>
          <w:p w:rsidR="00572847" w:rsidRDefault="00572847" w:rsidP="0046538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8.  Ekspansji kulturowej ciąg dalszy – zderzenie cywilizacji</w:t>
            </w:r>
          </w:p>
          <w:p w:rsidR="00572847" w:rsidRDefault="00572847" w:rsidP="00465383">
            <w:pPr>
              <w:spacing w:after="0" w:line="240" w:lineRule="auto"/>
              <w:jc w:val="both"/>
            </w:pPr>
            <w:r>
              <w:t xml:space="preserve">Cywilizacja uniwersalna, czyli kulturowe jednoczenie się ludzkości oraz powszechna akceptacja wspólnych wartości, przekonań, orientacji, zwyczajów, instytucji przez narody świata. Sedno zachodniej cywilizacji: dziedzictwo starożytności klasycznej, katolicyzm i protestantyzm, języki europejskie, rozdział władzy duchowej i doczesnej, rządy prawa pluralizm społeczny, gremia przedstawicielskie, indywidualizm. </w:t>
            </w:r>
          </w:p>
          <w:p w:rsidR="00572847" w:rsidRPr="00064B77" w:rsidRDefault="00572847" w:rsidP="00465383">
            <w:pPr>
              <w:spacing w:after="0" w:line="240" w:lineRule="auto"/>
              <w:jc w:val="both"/>
            </w:pPr>
            <w:r>
              <w:t>Teza Huntingtona: pojęcie cywilizacji uniwersalnej służy uzasadnieniu imperializmu kulturowego zachodu (</w:t>
            </w:r>
            <w:proofErr w:type="spellStart"/>
            <w:r>
              <w:t>westernizacja</w:t>
            </w:r>
            <w:proofErr w:type="spellEnd"/>
            <w:r>
              <w:t>). Reakcje na zachód i modernizację: odrzucenie, kemalizm, reformizm.</w:t>
            </w:r>
          </w:p>
          <w:p w:rsidR="00572847" w:rsidRPr="001A1E5C" w:rsidRDefault="00572847" w:rsidP="00465383">
            <w:pPr>
              <w:spacing w:after="0" w:line="240" w:lineRule="auto"/>
              <w:jc w:val="both"/>
            </w:pPr>
            <w:r>
              <w:t xml:space="preserve">Huntington S., </w:t>
            </w:r>
            <w:r>
              <w:rPr>
                <w:i/>
              </w:rPr>
              <w:t>Zderzenie cywilizacji i nowy kształt ładu światowego</w:t>
            </w:r>
            <w:r>
              <w:t xml:space="preserve">, przeł. H. Jankowska, Muza SA, Warszawa 2007, s. 13-118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81FA0" w:rsidRDefault="009F4610" w:rsidP="00EF37A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Wykład: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wykład problemowy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 xml:space="preserve">- wykład z prezentacją multimedialną (slajdy zawierają ważniejsze i obszerniejsze cytaty z wybranych dzieł filozoficznych, co umożliwia ich wspólną analizę, a także prezentują dzieła sztuki inspirowane tematyką filozoficzną). 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Ćwiczenia: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:rsidR="00181FA0" w:rsidRPr="00181FA0" w:rsidRDefault="00181FA0" w:rsidP="00181F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1FA0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6C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066C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66C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6C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6C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ćw.: obserwacja i ocena indywidualnej aktywności w trakcie zajęć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w.: egzamin ustny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 1-8, w. 1-15</w:t>
            </w:r>
          </w:p>
        </w:tc>
      </w:tr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ćw.: obserwacja i ocena indywidualnej aktywności w trakcie zajęć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w.: egzamin ustny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 1-8, w. 1-15</w:t>
            </w:r>
          </w:p>
        </w:tc>
      </w:tr>
      <w:tr w:rsidR="005A3B66" w:rsidRPr="00AF4A52" w:rsidTr="00465383">
        <w:tc>
          <w:tcPr>
            <w:tcW w:w="1984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ćw.: obserwacja i ocena indywidualnej aktywności w trakcie zajęć</w:t>
            </w:r>
          </w:p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w.: egzamin ustny</w:t>
            </w:r>
          </w:p>
        </w:tc>
        <w:tc>
          <w:tcPr>
            <w:tcW w:w="2233" w:type="dxa"/>
          </w:tcPr>
          <w:p w:rsidR="005A3B66" w:rsidRPr="00066CAE" w:rsidRDefault="005A3B66" w:rsidP="004653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6CAE">
              <w:rPr>
                <w:rFonts w:ascii="Corbel" w:hAnsi="Corbel"/>
                <w:b w:val="0"/>
                <w:szCs w:val="24"/>
              </w:rPr>
              <w:t>ćw. 1-8, w. 1-15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C2C7C" w:rsidRPr="004B323A" w:rsidRDefault="009C2C7C" w:rsidP="009C2C7C">
            <w:pPr>
              <w:spacing w:after="0"/>
              <w:rPr>
                <w:rFonts w:ascii="Corbel" w:hAnsi="Corbel"/>
                <w:sz w:val="24"/>
              </w:rPr>
            </w:pPr>
            <w:r w:rsidRPr="004B323A">
              <w:rPr>
                <w:rFonts w:ascii="Corbel" w:hAnsi="Corbel"/>
                <w:sz w:val="24"/>
              </w:rPr>
              <w:t>Ćwiczenia: podstawowym warunkiem zaliczenia ćwiczeń jest obecność studenta na zajęciach. kryterium oceny stanowi jego werbalna aktywność w trakcie dyskusji w grupie ćwiczeniowej.</w:t>
            </w:r>
          </w:p>
          <w:p w:rsidR="0085747A" w:rsidRPr="009C2C7C" w:rsidRDefault="009C2C7C" w:rsidP="004B323A">
            <w:pPr>
              <w:spacing w:after="0"/>
              <w:rPr>
                <w:rFonts w:ascii="Times New Roman" w:hAnsi="Times New Roman"/>
                <w:b/>
                <w:smallCaps/>
              </w:rPr>
            </w:pPr>
            <w:r w:rsidRPr="004B323A">
              <w:rPr>
                <w:rFonts w:ascii="Corbel" w:hAnsi="Corbel"/>
                <w:sz w:val="24"/>
              </w:rPr>
              <w:t>Wykład: warunkiem zaliczenia przedmiotu jest pozytywne zdanie egzaminu ustnego. kryterium oceny jest sprawdzenie w trakcie egzaminu poziomu wiedzy studenta z zakresu treści omówionych w ramach wykładów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20EF3" w:rsidRPr="00120EF3" w:rsidRDefault="009745C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Wykład 30 godzin</w:t>
            </w:r>
          </w:p>
          <w:p w:rsidR="0085747A" w:rsidRPr="009C54AE" w:rsidRDefault="008954C1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Ćwiczenia 15</w:t>
            </w:r>
            <w:r w:rsidR="00120EF3" w:rsidRPr="00120EF3">
              <w:rPr>
                <w:rFonts w:ascii="Corbel" w:hAnsi="Corbel"/>
                <w:sz w:val="24"/>
              </w:rPr>
              <w:t xml:space="preserve"> godz</w:t>
            </w:r>
            <w:r w:rsidR="009745C0">
              <w:rPr>
                <w:rFonts w:ascii="Corbel" w:hAnsi="Corbel"/>
                <w:sz w:val="24"/>
              </w:rPr>
              <w:t>in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D7F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597C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52</w:t>
            </w:r>
            <w:r w:rsidR="009745C0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97C41" w:rsidP="00597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954C1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E434F" w:rsidRDefault="00EE43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43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E434F" w:rsidRDefault="00EE43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43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67CE" w:rsidRPr="00AF4A52" w:rsidTr="00465383">
        <w:tc>
          <w:tcPr>
            <w:tcW w:w="7513" w:type="dxa"/>
          </w:tcPr>
          <w:p w:rsidR="008E67CE" w:rsidRPr="008E67CE" w:rsidRDefault="008E67CE" w:rsidP="004653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E67CE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Camus A., </w:t>
            </w:r>
            <w:r w:rsidRPr="008E67CE">
              <w:rPr>
                <w:rFonts w:ascii="Corbel" w:hAnsi="Corbel"/>
                <w:i/>
                <w:sz w:val="24"/>
              </w:rPr>
              <w:t>Mit Syzyfa</w:t>
            </w:r>
            <w:r w:rsidRPr="008E67CE">
              <w:rPr>
                <w:rFonts w:ascii="Corbel" w:hAnsi="Corbel"/>
                <w:sz w:val="24"/>
              </w:rPr>
              <w:t xml:space="preserve">, w: tenże, </w:t>
            </w:r>
            <w:r w:rsidRPr="008E67CE">
              <w:rPr>
                <w:rFonts w:ascii="Corbel" w:hAnsi="Corbel"/>
                <w:i/>
                <w:sz w:val="24"/>
              </w:rPr>
              <w:t>Mit Syzyfa i inne eseje</w:t>
            </w:r>
            <w:r w:rsidRPr="008E67CE">
              <w:rPr>
                <w:rFonts w:ascii="Corbel" w:hAnsi="Corbel"/>
                <w:sz w:val="24"/>
              </w:rPr>
              <w:t xml:space="preserve">, przeł. J. </w:t>
            </w:r>
            <w:proofErr w:type="spellStart"/>
            <w:r w:rsidRPr="008E67CE">
              <w:rPr>
                <w:rFonts w:ascii="Corbel" w:hAnsi="Corbel"/>
                <w:sz w:val="24"/>
              </w:rPr>
              <w:t>Guze</w:t>
            </w:r>
            <w:proofErr w:type="spellEnd"/>
            <w:r w:rsidRPr="008E67CE">
              <w:rPr>
                <w:rFonts w:ascii="Corbel" w:hAnsi="Corbel"/>
                <w:sz w:val="24"/>
              </w:rPr>
              <w:t>, Muza, Warszawa 1999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Guthrie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W.K.C., </w:t>
            </w:r>
            <w:r w:rsidRPr="008E67CE">
              <w:rPr>
                <w:rFonts w:ascii="Corbel" w:hAnsi="Corbel"/>
                <w:i/>
                <w:sz w:val="24"/>
              </w:rPr>
              <w:t>Filozofowie greccy od Talesa do Arystotelesa</w:t>
            </w:r>
            <w:r w:rsidRPr="008E67CE">
              <w:rPr>
                <w:rFonts w:ascii="Corbel" w:hAnsi="Corbel"/>
                <w:sz w:val="24"/>
              </w:rPr>
              <w:t>, przeł. A. Pawelec, Znak, Kraków 1996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Huntington S., </w:t>
            </w:r>
            <w:r w:rsidRPr="008E67CE">
              <w:rPr>
                <w:rFonts w:ascii="Corbel" w:hAnsi="Corbel"/>
                <w:i/>
                <w:sz w:val="24"/>
              </w:rPr>
              <w:t>Zderzenie cywilizacji i nowy kształt ładu światowego</w:t>
            </w:r>
            <w:r w:rsidRPr="008E67CE">
              <w:rPr>
                <w:rFonts w:ascii="Corbel" w:hAnsi="Corbel"/>
                <w:sz w:val="24"/>
              </w:rPr>
              <w:t>, przeł. H. Jankowska, Muza SA, Warszawa 2007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Jaeger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W., </w:t>
            </w:r>
            <w:proofErr w:type="spellStart"/>
            <w:r w:rsidRPr="008E67CE">
              <w:rPr>
                <w:rFonts w:ascii="Corbel" w:hAnsi="Corbel"/>
                <w:i/>
                <w:sz w:val="24"/>
              </w:rPr>
              <w:t>Paideia</w:t>
            </w:r>
            <w:proofErr w:type="spellEnd"/>
            <w:r w:rsidRPr="008E67CE">
              <w:rPr>
                <w:rFonts w:ascii="Corbel" w:hAnsi="Corbel"/>
                <w:i/>
                <w:sz w:val="24"/>
              </w:rPr>
              <w:t>. Formowanie człowieka greckiego</w:t>
            </w:r>
            <w:r w:rsidRPr="008E67CE">
              <w:rPr>
                <w:rFonts w:ascii="Corbel" w:hAnsi="Corbel"/>
                <w:sz w:val="24"/>
              </w:rPr>
              <w:t>,</w:t>
            </w:r>
            <w:r w:rsidRPr="008E67CE">
              <w:rPr>
                <w:rFonts w:ascii="Corbel" w:hAnsi="Corbel"/>
                <w:i/>
                <w:sz w:val="24"/>
              </w:rPr>
              <w:t xml:space="preserve"> </w:t>
            </w:r>
            <w:r w:rsidRPr="008E67CE">
              <w:rPr>
                <w:rFonts w:ascii="Corbel" w:hAnsi="Corbel"/>
                <w:sz w:val="24"/>
              </w:rPr>
              <w:t xml:space="preserve">przeł. M. </w:t>
            </w:r>
            <w:proofErr w:type="spellStart"/>
            <w:r w:rsidRPr="008E67CE">
              <w:rPr>
                <w:rFonts w:ascii="Corbel" w:hAnsi="Corbel"/>
                <w:sz w:val="24"/>
              </w:rPr>
              <w:t>Plezia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, H. Bednarek, Fundacja </w:t>
            </w:r>
            <w:proofErr w:type="spellStart"/>
            <w:r w:rsidRPr="008E67CE">
              <w:rPr>
                <w:rFonts w:ascii="Corbel" w:hAnsi="Corbel"/>
                <w:sz w:val="24"/>
              </w:rPr>
              <w:t>Aletheia</w:t>
            </w:r>
            <w:proofErr w:type="spellEnd"/>
            <w:r w:rsidRPr="008E67CE">
              <w:rPr>
                <w:rFonts w:ascii="Corbel" w:hAnsi="Corbel"/>
                <w:sz w:val="24"/>
              </w:rPr>
              <w:t>, Warszawa 2001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Kowalski K., </w:t>
            </w:r>
            <w:r w:rsidRPr="008E67CE">
              <w:rPr>
                <w:rFonts w:ascii="Corbel" w:hAnsi="Corbel"/>
                <w:i/>
                <w:sz w:val="24"/>
              </w:rPr>
              <w:t>O istocie dziedzictwa europejskiego – rozważania</w:t>
            </w:r>
            <w:r w:rsidRPr="008E67CE">
              <w:rPr>
                <w:rFonts w:ascii="Corbel" w:hAnsi="Corbel"/>
                <w:sz w:val="24"/>
              </w:rPr>
              <w:t>, Międzynarodowe Centrum Kultury, Kraków 2013, s. 79-112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Krasnodębski M., </w:t>
            </w:r>
            <w:r w:rsidRPr="008E67CE">
              <w:rPr>
                <w:rFonts w:ascii="Corbel" w:hAnsi="Corbel"/>
                <w:i/>
                <w:sz w:val="24"/>
              </w:rPr>
              <w:t xml:space="preserve">Zarys dziejów ateńskiej historii wychowania. </w:t>
            </w:r>
            <w:proofErr w:type="spellStart"/>
            <w:r w:rsidRPr="008E67CE">
              <w:rPr>
                <w:rFonts w:ascii="Corbel" w:hAnsi="Corbel"/>
                <w:i/>
                <w:sz w:val="24"/>
              </w:rPr>
              <w:t>Paideia</w:t>
            </w:r>
            <w:proofErr w:type="spellEnd"/>
            <w:r w:rsidRPr="008E67CE">
              <w:rPr>
                <w:rFonts w:ascii="Corbel" w:hAnsi="Corbel"/>
                <w:i/>
                <w:sz w:val="24"/>
              </w:rPr>
              <w:t xml:space="preserve"> od Sokratesa do Zenona</w:t>
            </w:r>
            <w:r w:rsidRPr="008E67CE">
              <w:rPr>
                <w:rFonts w:ascii="Corbel" w:hAnsi="Corbel"/>
                <w:sz w:val="24"/>
              </w:rPr>
              <w:t xml:space="preserve">, </w:t>
            </w:r>
            <w:proofErr w:type="spellStart"/>
            <w:r w:rsidRPr="008E67CE">
              <w:rPr>
                <w:rFonts w:ascii="Corbel" w:hAnsi="Corbel"/>
                <w:sz w:val="24"/>
              </w:rPr>
              <w:t>Difin</w:t>
            </w:r>
            <w:proofErr w:type="spellEnd"/>
            <w:r w:rsidRPr="008E67CE">
              <w:rPr>
                <w:rFonts w:ascii="Corbel" w:hAnsi="Corbel"/>
                <w:sz w:val="24"/>
              </w:rPr>
              <w:t>, Warszawa 2011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Kubiak Z., </w:t>
            </w:r>
            <w:r w:rsidRPr="008E67CE">
              <w:rPr>
                <w:rFonts w:ascii="Corbel" w:hAnsi="Corbel"/>
                <w:i/>
                <w:sz w:val="24"/>
              </w:rPr>
              <w:t>Literatura Greków i Rzymian</w:t>
            </w:r>
            <w:r w:rsidRPr="008E67CE">
              <w:rPr>
                <w:rFonts w:ascii="Corbel" w:hAnsi="Corbel"/>
                <w:sz w:val="24"/>
              </w:rPr>
              <w:t xml:space="preserve">, Świat Książki, Warszawa 1999 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Lengauer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W., </w:t>
            </w:r>
            <w:r w:rsidRPr="008E67CE">
              <w:rPr>
                <w:rFonts w:ascii="Corbel" w:hAnsi="Corbel"/>
                <w:i/>
                <w:sz w:val="24"/>
              </w:rPr>
              <w:t>Religijność starożytnych Greków</w:t>
            </w:r>
            <w:r w:rsidRPr="008E67CE">
              <w:rPr>
                <w:rFonts w:ascii="Corbel" w:hAnsi="Corbel"/>
                <w:sz w:val="24"/>
              </w:rPr>
              <w:t>, PWN, Warszawa 1994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Pott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H.-G., </w:t>
            </w:r>
            <w:r w:rsidRPr="008E67CE">
              <w:rPr>
                <w:rFonts w:ascii="Corbel" w:hAnsi="Corbel"/>
                <w:i/>
                <w:sz w:val="24"/>
              </w:rPr>
              <w:t>Krótka historia kultury europejskiej</w:t>
            </w:r>
            <w:r w:rsidRPr="008E67CE">
              <w:rPr>
                <w:rFonts w:ascii="Corbel" w:hAnsi="Corbel"/>
                <w:sz w:val="24"/>
              </w:rPr>
              <w:t>, przeł. J. Dąbrowski, ATUT, Wrocław 2007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Rietbergen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P., </w:t>
            </w:r>
            <w:r w:rsidRPr="008E67CE">
              <w:rPr>
                <w:rFonts w:ascii="Corbel" w:hAnsi="Corbel"/>
                <w:i/>
                <w:sz w:val="24"/>
              </w:rPr>
              <w:t>Europa. Dzieje kultury</w:t>
            </w:r>
            <w:r w:rsidRPr="008E67CE">
              <w:rPr>
                <w:rFonts w:ascii="Corbel" w:hAnsi="Corbel"/>
                <w:sz w:val="24"/>
              </w:rPr>
              <w:t>, przeł. R. Bartołd, Książka i Wiedza, Warszawa 2001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Snell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 B., </w:t>
            </w:r>
            <w:r w:rsidRPr="008E67CE">
              <w:rPr>
                <w:rFonts w:ascii="Corbel" w:hAnsi="Corbel"/>
                <w:i/>
                <w:sz w:val="24"/>
              </w:rPr>
              <w:t>Odkrycie ducha. Studia o greckich korzeniach europejskiego myślenia</w:t>
            </w:r>
            <w:r w:rsidRPr="008E67CE">
              <w:rPr>
                <w:rFonts w:ascii="Corbel" w:hAnsi="Corbel"/>
                <w:sz w:val="24"/>
              </w:rPr>
              <w:t xml:space="preserve">, przeł. A. </w:t>
            </w:r>
            <w:proofErr w:type="spellStart"/>
            <w:r w:rsidRPr="008E67CE">
              <w:rPr>
                <w:rFonts w:ascii="Corbel" w:hAnsi="Corbel"/>
                <w:sz w:val="24"/>
              </w:rPr>
              <w:t>Onysymow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, Fundacja </w:t>
            </w:r>
            <w:proofErr w:type="spellStart"/>
            <w:r w:rsidRPr="008E67CE">
              <w:rPr>
                <w:rFonts w:ascii="Corbel" w:hAnsi="Corbel"/>
                <w:sz w:val="24"/>
              </w:rPr>
              <w:t>Aletheia</w:t>
            </w:r>
            <w:proofErr w:type="spellEnd"/>
            <w:r w:rsidRPr="008E67CE">
              <w:rPr>
                <w:rFonts w:ascii="Corbel" w:hAnsi="Corbel"/>
                <w:sz w:val="24"/>
              </w:rPr>
              <w:t>, Warszawa 2009</w:t>
            </w:r>
          </w:p>
          <w:p w:rsidR="008E67CE" w:rsidRP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Stabryła S., </w:t>
            </w:r>
            <w:r w:rsidRPr="008E67CE">
              <w:rPr>
                <w:rFonts w:ascii="Corbel" w:hAnsi="Corbel"/>
                <w:i/>
                <w:sz w:val="24"/>
              </w:rPr>
              <w:t>Historia kultury europejskiej</w:t>
            </w:r>
            <w:r w:rsidRPr="008E67CE">
              <w:rPr>
                <w:rFonts w:ascii="Corbel" w:hAnsi="Corbel"/>
                <w:sz w:val="24"/>
              </w:rPr>
              <w:t xml:space="preserve">, 1. </w:t>
            </w:r>
            <w:r w:rsidRPr="008E67CE">
              <w:rPr>
                <w:rFonts w:ascii="Corbel" w:hAnsi="Corbel"/>
                <w:i/>
                <w:sz w:val="24"/>
              </w:rPr>
              <w:t>Starożytność</w:t>
            </w:r>
            <w:r w:rsidRPr="008E67CE">
              <w:rPr>
                <w:rFonts w:ascii="Corbel" w:hAnsi="Corbel"/>
                <w:sz w:val="24"/>
              </w:rPr>
              <w:t>, WAM, Kraków 2012</w:t>
            </w:r>
          </w:p>
          <w:p w:rsidR="008E67CE" w:rsidRPr="008E67CE" w:rsidRDefault="008E67CE" w:rsidP="00465383">
            <w:pPr>
              <w:spacing w:after="0"/>
              <w:ind w:left="459" w:hanging="459"/>
              <w:jc w:val="both"/>
              <w:rPr>
                <w:rFonts w:ascii="Corbel" w:hAnsi="Corbel"/>
                <w:sz w:val="24"/>
              </w:rPr>
            </w:pPr>
            <w:proofErr w:type="spellStart"/>
            <w:r w:rsidRPr="008E67CE">
              <w:rPr>
                <w:rFonts w:ascii="Corbel" w:hAnsi="Corbel"/>
                <w:sz w:val="24"/>
              </w:rPr>
              <w:t>Vernant</w:t>
            </w:r>
            <w:proofErr w:type="spellEnd"/>
            <w:r w:rsidRPr="008E67CE">
              <w:rPr>
                <w:rFonts w:ascii="Corbel" w:hAnsi="Corbel"/>
                <w:sz w:val="24"/>
              </w:rPr>
              <w:t xml:space="preserve"> J.-P., </w:t>
            </w:r>
            <w:r w:rsidRPr="008E67CE">
              <w:rPr>
                <w:rFonts w:ascii="Corbel" w:hAnsi="Corbel"/>
                <w:i/>
                <w:sz w:val="24"/>
              </w:rPr>
              <w:t>Mit i religia w Grecji starożytnej</w:t>
            </w:r>
            <w:r w:rsidRPr="008E67CE">
              <w:rPr>
                <w:rFonts w:ascii="Corbel" w:hAnsi="Corbel"/>
                <w:sz w:val="24"/>
              </w:rPr>
              <w:t>,</w:t>
            </w:r>
            <w:r w:rsidRPr="008E67CE">
              <w:rPr>
                <w:rFonts w:ascii="Corbel" w:hAnsi="Corbel"/>
                <w:i/>
                <w:sz w:val="24"/>
              </w:rPr>
              <w:t xml:space="preserve"> </w:t>
            </w:r>
            <w:r w:rsidRPr="008E67CE">
              <w:rPr>
                <w:rFonts w:ascii="Corbel" w:hAnsi="Corbel"/>
                <w:sz w:val="24"/>
              </w:rPr>
              <w:t xml:space="preserve">przeł. K. Środa, </w:t>
            </w:r>
            <w:proofErr w:type="spellStart"/>
            <w:r w:rsidRPr="008E67CE">
              <w:rPr>
                <w:rFonts w:ascii="Corbel" w:hAnsi="Corbel"/>
                <w:sz w:val="24"/>
              </w:rPr>
              <w:t>Aletheia</w:t>
            </w:r>
            <w:proofErr w:type="spellEnd"/>
            <w:r w:rsidRPr="008E67CE">
              <w:rPr>
                <w:rFonts w:ascii="Corbel" w:hAnsi="Corbel"/>
                <w:sz w:val="24"/>
              </w:rPr>
              <w:t>, Warszawa 1998</w:t>
            </w:r>
          </w:p>
          <w:p w:rsidR="008E67CE" w:rsidRDefault="008E67CE" w:rsidP="00465383">
            <w:pPr>
              <w:spacing w:after="0"/>
              <w:ind w:left="469" w:hanging="488"/>
              <w:jc w:val="both"/>
              <w:rPr>
                <w:rFonts w:ascii="Corbel" w:hAnsi="Corbel"/>
                <w:sz w:val="24"/>
              </w:rPr>
            </w:pPr>
            <w:r w:rsidRPr="008E67CE">
              <w:rPr>
                <w:rFonts w:ascii="Corbel" w:hAnsi="Corbel"/>
                <w:sz w:val="24"/>
              </w:rPr>
              <w:t xml:space="preserve">Zachariasz A.L., </w:t>
            </w:r>
            <w:r w:rsidRPr="008E67CE">
              <w:rPr>
                <w:rFonts w:ascii="Corbel" w:hAnsi="Corbel"/>
                <w:i/>
                <w:sz w:val="24"/>
              </w:rPr>
              <w:t>Filozofia. Jej istota i funkcje</w:t>
            </w:r>
            <w:r w:rsidRPr="008E67CE">
              <w:rPr>
                <w:rFonts w:ascii="Corbel" w:hAnsi="Corbel"/>
                <w:sz w:val="24"/>
              </w:rPr>
              <w:t>, Wydawnictwo Uniwersytetu Rzeszowskiego, Rzeszów 2002</w:t>
            </w:r>
          </w:p>
          <w:p w:rsidR="008C2761" w:rsidRPr="008C2761" w:rsidRDefault="008C2761" w:rsidP="008C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:rsidR="008C2761" w:rsidRPr="008C2761" w:rsidRDefault="008C2761" w:rsidP="008C2761">
            <w:pPr>
              <w:pStyle w:val="Punktygwne"/>
              <w:spacing w:before="0" w:after="0"/>
              <w:ind w:left="459" w:hanging="459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8C2761">
              <w:rPr>
                <w:rFonts w:ascii="Corbel" w:hAnsi="Corbel"/>
                <w:b w:val="0"/>
                <w:smallCaps w:val="0"/>
              </w:rPr>
              <w:t>Boardman</w:t>
            </w:r>
            <w:proofErr w:type="spellEnd"/>
            <w:r w:rsidRPr="008C2761">
              <w:rPr>
                <w:rFonts w:ascii="Corbel" w:hAnsi="Corbel"/>
                <w:b w:val="0"/>
                <w:smallCaps w:val="0"/>
              </w:rPr>
              <w:t xml:space="preserve"> J., </w:t>
            </w:r>
            <w:r w:rsidRPr="008C2761">
              <w:rPr>
                <w:rFonts w:ascii="Corbel" w:hAnsi="Corbel"/>
                <w:b w:val="0"/>
                <w:i/>
                <w:smallCaps w:val="0"/>
              </w:rPr>
              <w:t>Sztuka grecka</w:t>
            </w:r>
            <w:r w:rsidRPr="008C2761">
              <w:rPr>
                <w:rFonts w:ascii="Corbel" w:hAnsi="Corbel"/>
                <w:b w:val="0"/>
                <w:smallCaps w:val="0"/>
              </w:rPr>
              <w:t xml:space="preserve">, tłum. M. </w:t>
            </w:r>
            <w:proofErr w:type="spellStart"/>
            <w:r w:rsidRPr="008C2761">
              <w:rPr>
                <w:rFonts w:ascii="Corbel" w:hAnsi="Corbel"/>
                <w:b w:val="0"/>
                <w:smallCaps w:val="0"/>
              </w:rPr>
              <w:t>Burdajewicz</w:t>
            </w:r>
            <w:proofErr w:type="spellEnd"/>
            <w:r w:rsidRPr="008C2761">
              <w:rPr>
                <w:rFonts w:ascii="Corbel" w:hAnsi="Corbel"/>
                <w:b w:val="0"/>
                <w:smallCaps w:val="0"/>
              </w:rPr>
              <w:t>, VIA, Toruń 1999</w:t>
            </w:r>
          </w:p>
          <w:p w:rsidR="008C2761" w:rsidRPr="008C2761" w:rsidRDefault="008C2761" w:rsidP="008C2761">
            <w:pPr>
              <w:pStyle w:val="Punktygwne"/>
              <w:spacing w:before="0" w:after="0"/>
              <w:ind w:left="459" w:hanging="459"/>
              <w:jc w:val="both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 xml:space="preserve">Flis A., </w:t>
            </w:r>
            <w:r w:rsidRPr="008C2761">
              <w:rPr>
                <w:rFonts w:ascii="Corbel" w:hAnsi="Corbel"/>
                <w:b w:val="0"/>
                <w:i/>
                <w:smallCaps w:val="0"/>
              </w:rPr>
              <w:t>Chrześcijaństwo i Europa. Studia z dziejów cywilizacji Zachodu</w:t>
            </w:r>
            <w:r w:rsidRPr="008C2761"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spellStart"/>
            <w:r w:rsidRPr="008C2761">
              <w:rPr>
                <w:rFonts w:ascii="Corbel" w:hAnsi="Corbel"/>
                <w:b w:val="0"/>
                <w:smallCaps w:val="0"/>
              </w:rPr>
              <w:t>Nomos</w:t>
            </w:r>
            <w:proofErr w:type="spellEnd"/>
            <w:r w:rsidRPr="008C2761">
              <w:rPr>
                <w:rFonts w:ascii="Corbel" w:hAnsi="Corbel"/>
                <w:b w:val="0"/>
                <w:smallCaps w:val="0"/>
              </w:rPr>
              <w:t>, Kraków 2001</w:t>
            </w:r>
          </w:p>
          <w:p w:rsidR="008C2761" w:rsidRPr="008C2761" w:rsidRDefault="008C2761" w:rsidP="008C2761">
            <w:pPr>
              <w:pStyle w:val="Punktygwne"/>
              <w:spacing w:before="0" w:after="0"/>
              <w:ind w:left="459" w:hanging="459"/>
              <w:jc w:val="both"/>
              <w:rPr>
                <w:rFonts w:ascii="Corbel" w:hAnsi="Corbel"/>
                <w:b w:val="0"/>
                <w:smallCaps w:val="0"/>
              </w:rPr>
            </w:pPr>
            <w:r w:rsidRPr="008C2761">
              <w:rPr>
                <w:rFonts w:ascii="Corbel" w:hAnsi="Corbel"/>
                <w:b w:val="0"/>
                <w:smallCaps w:val="0"/>
              </w:rPr>
              <w:t xml:space="preserve">Krawczyk R., </w:t>
            </w:r>
            <w:r w:rsidRPr="008C2761">
              <w:rPr>
                <w:rFonts w:ascii="Corbel" w:hAnsi="Corbel"/>
                <w:b w:val="0"/>
                <w:i/>
                <w:smallCaps w:val="0"/>
              </w:rPr>
              <w:t>Podstawy cywilizacji europejskiej</w:t>
            </w:r>
            <w:r w:rsidRPr="008C2761"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spellStart"/>
            <w:r w:rsidRPr="008C2761">
              <w:rPr>
                <w:rFonts w:ascii="Corbel" w:hAnsi="Corbel"/>
                <w:b w:val="0"/>
                <w:smallCaps w:val="0"/>
              </w:rPr>
              <w:t>WSHiP</w:t>
            </w:r>
            <w:proofErr w:type="spellEnd"/>
            <w:r w:rsidRPr="008C2761">
              <w:rPr>
                <w:rFonts w:ascii="Corbel" w:hAnsi="Corbel"/>
                <w:b w:val="0"/>
                <w:smallCaps w:val="0"/>
              </w:rPr>
              <w:t xml:space="preserve"> im. R. Łazarskiego w Warszawie, Warszawa 2004</w:t>
            </w:r>
          </w:p>
          <w:p w:rsidR="008C2761" w:rsidRPr="008C2761" w:rsidRDefault="008C2761" w:rsidP="008C2761">
            <w:pPr>
              <w:spacing w:after="0" w:line="300" w:lineRule="auto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Kuncewicz P., </w:t>
            </w:r>
            <w:r w:rsidRPr="008C2761">
              <w:rPr>
                <w:rFonts w:ascii="Corbel" w:hAnsi="Corbel"/>
                <w:i/>
                <w:sz w:val="24"/>
              </w:rPr>
              <w:t>Antyk zmęczonej Europy</w:t>
            </w:r>
            <w:r w:rsidRPr="008C2761">
              <w:rPr>
                <w:rFonts w:ascii="Corbel" w:hAnsi="Corbel"/>
                <w:sz w:val="24"/>
              </w:rPr>
              <w:t>, Nasza Księgarnia, Warszawa 1982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Kupis B., </w:t>
            </w:r>
            <w:r w:rsidRPr="008C2761">
              <w:rPr>
                <w:rFonts w:ascii="Corbel" w:hAnsi="Corbel"/>
                <w:i/>
                <w:sz w:val="24"/>
              </w:rPr>
              <w:t>Historia religii w starożytnej Grecji</w:t>
            </w:r>
            <w:r w:rsidRPr="008C2761">
              <w:rPr>
                <w:rFonts w:ascii="Corbel" w:hAnsi="Corbel"/>
                <w:sz w:val="24"/>
              </w:rPr>
              <w:t>, Krajowa Agencja Wydawnicza, Warszawa 1989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t>Lakoff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G., Johnson M., </w:t>
            </w:r>
            <w:r w:rsidRPr="008C2761">
              <w:rPr>
                <w:rFonts w:ascii="Corbel" w:hAnsi="Corbel"/>
                <w:i/>
                <w:sz w:val="24"/>
              </w:rPr>
              <w:t>Metafory w naszym życiu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 xml:space="preserve">przeł. T. P. Krzeszowski, Wydawnictwo </w:t>
            </w:r>
            <w:proofErr w:type="spellStart"/>
            <w:r w:rsidRPr="008C2761">
              <w:rPr>
                <w:rFonts w:ascii="Corbel" w:hAnsi="Corbel"/>
                <w:sz w:val="24"/>
              </w:rPr>
              <w:t>Aletheia</w:t>
            </w:r>
            <w:proofErr w:type="spellEnd"/>
            <w:r w:rsidRPr="008C2761">
              <w:rPr>
                <w:rFonts w:ascii="Corbel" w:hAnsi="Corbel"/>
                <w:sz w:val="24"/>
              </w:rPr>
              <w:t>, Warszawa 2010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t>Lurker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M., </w:t>
            </w:r>
            <w:r w:rsidRPr="008C2761">
              <w:rPr>
                <w:rFonts w:ascii="Corbel" w:hAnsi="Corbel"/>
                <w:i/>
                <w:sz w:val="24"/>
              </w:rPr>
              <w:t>Słownik obrazów i symboli biblijnych</w:t>
            </w:r>
            <w:r w:rsidRPr="008C2761">
              <w:rPr>
                <w:rFonts w:ascii="Corbel" w:hAnsi="Corbel"/>
                <w:sz w:val="24"/>
              </w:rPr>
              <w:t xml:space="preserve">, tłum. K. Romaniuk, </w:t>
            </w:r>
            <w:proofErr w:type="spellStart"/>
            <w:r w:rsidRPr="008C2761">
              <w:rPr>
                <w:rFonts w:ascii="Corbel" w:hAnsi="Corbel"/>
                <w:sz w:val="24"/>
              </w:rPr>
              <w:t>Pallottinum</w:t>
            </w:r>
            <w:proofErr w:type="spellEnd"/>
            <w:r w:rsidRPr="008C2761">
              <w:rPr>
                <w:rFonts w:ascii="Corbel" w:hAnsi="Corbel"/>
                <w:sz w:val="24"/>
              </w:rPr>
              <w:t>, Poznań 1989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59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t>Lurker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M., </w:t>
            </w:r>
            <w:r w:rsidRPr="008C2761">
              <w:rPr>
                <w:rFonts w:ascii="Corbel" w:hAnsi="Corbel"/>
                <w:i/>
                <w:sz w:val="24"/>
              </w:rPr>
              <w:t>Przesłanie symboli w mitach, kulturach i religiach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 xml:space="preserve">przeł. R. </w:t>
            </w:r>
            <w:proofErr w:type="spellStart"/>
            <w:r w:rsidRPr="008C2761">
              <w:rPr>
                <w:rFonts w:ascii="Corbel" w:hAnsi="Corbel"/>
                <w:sz w:val="24"/>
              </w:rPr>
              <w:t>Wojnakowski</w:t>
            </w:r>
            <w:proofErr w:type="spellEnd"/>
            <w:r w:rsidRPr="008C2761">
              <w:rPr>
                <w:rFonts w:ascii="Corbel" w:hAnsi="Corbel"/>
                <w:sz w:val="24"/>
              </w:rPr>
              <w:t>, Znak, Kraków 1994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lastRenderedPageBreak/>
              <w:t>Ong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W. L., </w:t>
            </w:r>
            <w:r w:rsidRPr="008C2761">
              <w:rPr>
                <w:rFonts w:ascii="Corbel" w:hAnsi="Corbel"/>
                <w:i/>
                <w:sz w:val="24"/>
              </w:rPr>
              <w:t>Oralność i piśmienność. Słowo poddane technologii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 xml:space="preserve">przeł. J. </w:t>
            </w:r>
            <w:proofErr w:type="spellStart"/>
            <w:r w:rsidRPr="008C2761">
              <w:rPr>
                <w:rFonts w:ascii="Corbel" w:hAnsi="Corbel"/>
                <w:sz w:val="24"/>
              </w:rPr>
              <w:t>Japola</w:t>
            </w:r>
            <w:proofErr w:type="spellEnd"/>
            <w:r w:rsidRPr="008C2761">
              <w:rPr>
                <w:rFonts w:ascii="Corbel" w:hAnsi="Corbel"/>
                <w:sz w:val="24"/>
              </w:rPr>
              <w:t>, Redakcja Wydawnictw KUL, Lublin 1992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Otto R., </w:t>
            </w:r>
            <w:r w:rsidRPr="008C2761">
              <w:rPr>
                <w:rFonts w:ascii="Corbel" w:hAnsi="Corbel"/>
                <w:i/>
                <w:sz w:val="24"/>
              </w:rPr>
              <w:t>Mistyka Wschodu i Zachodu. Analogie i różnice wyjaśniające jej istotę</w:t>
            </w:r>
            <w:r w:rsidRPr="008C2761">
              <w:rPr>
                <w:rFonts w:ascii="Corbel" w:hAnsi="Corbel"/>
                <w:sz w:val="24"/>
              </w:rPr>
              <w:t>,</w:t>
            </w:r>
            <w:r w:rsidRPr="008C2761">
              <w:rPr>
                <w:rFonts w:ascii="Corbel" w:hAnsi="Corbel"/>
                <w:i/>
                <w:sz w:val="24"/>
              </w:rPr>
              <w:t xml:space="preserve"> </w:t>
            </w:r>
            <w:r w:rsidRPr="008C2761">
              <w:rPr>
                <w:rFonts w:ascii="Corbel" w:hAnsi="Corbel"/>
                <w:sz w:val="24"/>
              </w:rPr>
              <w:t>przeł. T. Duliński, Wydawnictwo KR, Warszawa 2000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Świderkówna A., </w:t>
            </w:r>
            <w:r w:rsidRPr="008C2761">
              <w:rPr>
                <w:rFonts w:ascii="Corbel" w:hAnsi="Corbel"/>
                <w:i/>
                <w:sz w:val="24"/>
              </w:rPr>
              <w:t>Bogowie zeszli z Olimpu. Bóstwo i mit w greckiej literaturze świata hellenistycznego</w:t>
            </w:r>
            <w:r w:rsidRPr="008C2761">
              <w:rPr>
                <w:rFonts w:ascii="Corbel" w:hAnsi="Corbel"/>
                <w:sz w:val="24"/>
              </w:rPr>
              <w:t>, PWN, Warszawa 2008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t>Tarnas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R., </w:t>
            </w:r>
            <w:r w:rsidRPr="008C2761">
              <w:rPr>
                <w:rFonts w:ascii="Corbel" w:hAnsi="Corbel"/>
                <w:i/>
                <w:sz w:val="24"/>
              </w:rPr>
              <w:t>Dzieje umysłowości zachodniej. Idee, które ukształtowały nasz światopogląd</w:t>
            </w:r>
            <w:r w:rsidRPr="008C2761">
              <w:rPr>
                <w:rFonts w:ascii="Corbel" w:hAnsi="Corbel"/>
                <w:sz w:val="24"/>
              </w:rPr>
              <w:t>, przeł. M. Filipczuk, J. Ruszkowski, Zysk i S-ka, Poznań 2002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Tatarkiewicz W., </w:t>
            </w:r>
            <w:r w:rsidRPr="008C2761">
              <w:rPr>
                <w:rFonts w:ascii="Corbel" w:hAnsi="Corbel"/>
                <w:i/>
                <w:sz w:val="24"/>
              </w:rPr>
              <w:t>Dzieje sześciu pojęć</w:t>
            </w:r>
            <w:r w:rsidRPr="008C2761">
              <w:rPr>
                <w:rFonts w:ascii="Corbel" w:hAnsi="Corbel"/>
                <w:sz w:val="24"/>
              </w:rPr>
              <w:t>, PWN, Warszawa 2005</w:t>
            </w:r>
          </w:p>
          <w:p w:rsidR="008C2761" w:rsidRPr="008C2761" w:rsidRDefault="008C2761" w:rsidP="008C2761">
            <w:pPr>
              <w:spacing w:after="0" w:line="300" w:lineRule="auto"/>
              <w:ind w:left="459" w:hanging="425"/>
              <w:jc w:val="both"/>
              <w:rPr>
                <w:rFonts w:ascii="Corbel" w:hAnsi="Corbel"/>
                <w:sz w:val="24"/>
              </w:rPr>
            </w:pPr>
            <w:r w:rsidRPr="008C2761">
              <w:rPr>
                <w:rFonts w:ascii="Corbel" w:hAnsi="Corbel"/>
                <w:sz w:val="24"/>
              </w:rPr>
              <w:t xml:space="preserve">Tatarkiewicz W., </w:t>
            </w:r>
            <w:r w:rsidRPr="008C2761">
              <w:rPr>
                <w:rFonts w:ascii="Corbel" w:hAnsi="Corbel"/>
                <w:i/>
                <w:sz w:val="24"/>
              </w:rPr>
              <w:t>Estetyka starożytna</w:t>
            </w:r>
            <w:r w:rsidRPr="008C2761">
              <w:rPr>
                <w:rFonts w:ascii="Corbel" w:hAnsi="Corbel"/>
                <w:sz w:val="24"/>
              </w:rPr>
              <w:t xml:space="preserve">, t. I, </w:t>
            </w:r>
            <w:r w:rsidRPr="008C2761">
              <w:rPr>
                <w:rFonts w:ascii="Corbel" w:hAnsi="Corbel"/>
                <w:i/>
                <w:sz w:val="24"/>
              </w:rPr>
              <w:t>Estetyka starożytna</w:t>
            </w:r>
            <w:r w:rsidRPr="008C2761">
              <w:rPr>
                <w:rFonts w:ascii="Corbel" w:hAnsi="Corbel"/>
                <w:sz w:val="24"/>
              </w:rPr>
              <w:t>, Wrocław-Warszawa-Kraków 1962</w:t>
            </w:r>
          </w:p>
          <w:p w:rsidR="008C2761" w:rsidRPr="008C2761" w:rsidRDefault="008C2761" w:rsidP="008C2761">
            <w:pPr>
              <w:spacing w:after="0"/>
              <w:ind w:left="459" w:hanging="459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t>Vernant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J.-P., </w:t>
            </w:r>
            <w:r w:rsidRPr="008C2761">
              <w:rPr>
                <w:rFonts w:ascii="Corbel" w:hAnsi="Corbel"/>
                <w:i/>
                <w:sz w:val="24"/>
              </w:rPr>
              <w:t xml:space="preserve">Źródła myśli greckiej, </w:t>
            </w:r>
            <w:r w:rsidRPr="008C2761">
              <w:rPr>
                <w:rFonts w:ascii="Corbel" w:hAnsi="Corbel"/>
                <w:sz w:val="24"/>
              </w:rPr>
              <w:t>przeł. J. Szacki, słowo/obraz terytoria, Gdańsk 1996</w:t>
            </w:r>
          </w:p>
          <w:p w:rsidR="008C2761" w:rsidRPr="008C2761" w:rsidRDefault="008C2761" w:rsidP="008C2761">
            <w:pPr>
              <w:spacing w:after="0"/>
              <w:ind w:left="459" w:hanging="459"/>
              <w:jc w:val="both"/>
              <w:rPr>
                <w:rFonts w:ascii="Corbel" w:hAnsi="Corbel"/>
                <w:sz w:val="24"/>
              </w:rPr>
            </w:pPr>
            <w:proofErr w:type="spellStart"/>
            <w:r w:rsidRPr="008C2761">
              <w:rPr>
                <w:rFonts w:ascii="Corbel" w:hAnsi="Corbel"/>
                <w:sz w:val="24"/>
              </w:rPr>
              <w:t>Vernant</w:t>
            </w:r>
            <w:proofErr w:type="spellEnd"/>
            <w:r w:rsidRPr="008C2761">
              <w:rPr>
                <w:rFonts w:ascii="Corbel" w:hAnsi="Corbel"/>
                <w:sz w:val="24"/>
              </w:rPr>
              <w:t xml:space="preserve"> J.-P., (red.), </w:t>
            </w:r>
            <w:r w:rsidRPr="008C2761">
              <w:rPr>
                <w:rFonts w:ascii="Corbel" w:hAnsi="Corbel"/>
                <w:i/>
                <w:sz w:val="24"/>
              </w:rPr>
              <w:t xml:space="preserve">Człowiek Grecji, </w:t>
            </w:r>
            <w:r w:rsidRPr="008C2761">
              <w:rPr>
                <w:rFonts w:ascii="Corbel" w:hAnsi="Corbel"/>
                <w:sz w:val="24"/>
              </w:rPr>
              <w:t xml:space="preserve">przeł. P. </w:t>
            </w:r>
            <w:proofErr w:type="spellStart"/>
            <w:r w:rsidRPr="008C2761">
              <w:rPr>
                <w:rFonts w:ascii="Corbel" w:hAnsi="Corbel"/>
                <w:sz w:val="24"/>
              </w:rPr>
              <w:t>Bravo</w:t>
            </w:r>
            <w:proofErr w:type="spellEnd"/>
            <w:r w:rsidRPr="008C2761">
              <w:rPr>
                <w:rFonts w:ascii="Corbel" w:hAnsi="Corbel"/>
                <w:sz w:val="24"/>
              </w:rPr>
              <w:t>, Ł. Niesiołowski-Spano, Świat Książki, Warszawa 2000</w:t>
            </w:r>
          </w:p>
          <w:p w:rsidR="008C2761" w:rsidRPr="007D1677" w:rsidRDefault="008C2761" w:rsidP="008C2761">
            <w:pPr>
              <w:spacing w:after="0"/>
              <w:ind w:left="469" w:hanging="488"/>
              <w:jc w:val="both"/>
              <w:rPr>
                <w:rFonts w:ascii="Times New Roman" w:hAnsi="Times New Roman"/>
              </w:rPr>
            </w:pPr>
            <w:r w:rsidRPr="008C2761">
              <w:rPr>
                <w:rFonts w:ascii="Corbel" w:hAnsi="Corbel"/>
                <w:sz w:val="24"/>
              </w:rPr>
              <w:t xml:space="preserve">Zieliński T., </w:t>
            </w:r>
            <w:r w:rsidRPr="008C2761">
              <w:rPr>
                <w:rFonts w:ascii="Corbel" w:hAnsi="Corbel"/>
                <w:i/>
                <w:sz w:val="24"/>
              </w:rPr>
              <w:t>Religia hellenizmu. Religia starożytnej Grecji</w:t>
            </w:r>
            <w:r w:rsidRPr="008C2761">
              <w:rPr>
                <w:rFonts w:ascii="Corbel" w:hAnsi="Corbel"/>
                <w:sz w:val="24"/>
              </w:rPr>
              <w:t>, Wydawnictwo Adam Marszałek, Toruń 2002</w:t>
            </w:r>
            <w:r w:rsidRPr="008C2761">
              <w:rPr>
                <w:rFonts w:ascii="Corbel" w:hAnsi="Corbel"/>
                <w:i/>
                <w:sz w:val="24"/>
              </w:rPr>
              <w:t xml:space="preserve">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8C8" w:rsidRDefault="00C638C8" w:rsidP="00C16ABF">
      <w:pPr>
        <w:spacing w:after="0" w:line="240" w:lineRule="auto"/>
      </w:pPr>
      <w:r>
        <w:separator/>
      </w:r>
    </w:p>
  </w:endnote>
  <w:endnote w:type="continuationSeparator" w:id="0">
    <w:p w:rsidR="00C638C8" w:rsidRDefault="00C638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8C8" w:rsidRDefault="00C638C8" w:rsidP="00C16ABF">
      <w:pPr>
        <w:spacing w:after="0" w:line="240" w:lineRule="auto"/>
      </w:pPr>
      <w:r>
        <w:separator/>
      </w:r>
    </w:p>
  </w:footnote>
  <w:footnote w:type="continuationSeparator" w:id="0">
    <w:p w:rsidR="00C638C8" w:rsidRDefault="00C638C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66B9"/>
    <w:rsid w:val="00042A51"/>
    <w:rsid w:val="00042D2E"/>
    <w:rsid w:val="00044C82"/>
    <w:rsid w:val="00066CAE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374"/>
    <w:rsid w:val="000B3E37"/>
    <w:rsid w:val="000B6295"/>
    <w:rsid w:val="000C57B3"/>
    <w:rsid w:val="000D04B0"/>
    <w:rsid w:val="000F1C57"/>
    <w:rsid w:val="000F5615"/>
    <w:rsid w:val="00104B5B"/>
    <w:rsid w:val="00120EF3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56DF9"/>
    <w:rsid w:val="001640A7"/>
    <w:rsid w:val="00164FA7"/>
    <w:rsid w:val="00166A03"/>
    <w:rsid w:val="00167ADF"/>
    <w:rsid w:val="001718A7"/>
    <w:rsid w:val="001737CF"/>
    <w:rsid w:val="00176083"/>
    <w:rsid w:val="001770C7"/>
    <w:rsid w:val="00181FA0"/>
    <w:rsid w:val="00192F37"/>
    <w:rsid w:val="001A70D2"/>
    <w:rsid w:val="001A7F66"/>
    <w:rsid w:val="001D657B"/>
    <w:rsid w:val="001D7B54"/>
    <w:rsid w:val="001E0209"/>
    <w:rsid w:val="001E5A94"/>
    <w:rsid w:val="001F2CA2"/>
    <w:rsid w:val="002144C0"/>
    <w:rsid w:val="00222EC3"/>
    <w:rsid w:val="0022477D"/>
    <w:rsid w:val="002278A9"/>
    <w:rsid w:val="002336F9"/>
    <w:rsid w:val="0024028F"/>
    <w:rsid w:val="00244ABC"/>
    <w:rsid w:val="00281FF2"/>
    <w:rsid w:val="002857DE"/>
    <w:rsid w:val="00291567"/>
    <w:rsid w:val="00292C17"/>
    <w:rsid w:val="002A0B3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EDB"/>
    <w:rsid w:val="002F02A3"/>
    <w:rsid w:val="002F4ABE"/>
    <w:rsid w:val="003018BA"/>
    <w:rsid w:val="0030395F"/>
    <w:rsid w:val="00305C92"/>
    <w:rsid w:val="00306387"/>
    <w:rsid w:val="003151C5"/>
    <w:rsid w:val="003343CF"/>
    <w:rsid w:val="00346FE9"/>
    <w:rsid w:val="0034759A"/>
    <w:rsid w:val="003503F6"/>
    <w:rsid w:val="003530DD"/>
    <w:rsid w:val="00357EC8"/>
    <w:rsid w:val="00363F78"/>
    <w:rsid w:val="00390D46"/>
    <w:rsid w:val="003A0A5B"/>
    <w:rsid w:val="003A1176"/>
    <w:rsid w:val="003C0BAE"/>
    <w:rsid w:val="003C0CC7"/>
    <w:rsid w:val="003D18A9"/>
    <w:rsid w:val="003D393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22AD"/>
    <w:rsid w:val="00464284"/>
    <w:rsid w:val="004652C2"/>
    <w:rsid w:val="004706D1"/>
    <w:rsid w:val="00471326"/>
    <w:rsid w:val="0047598D"/>
    <w:rsid w:val="0048170A"/>
    <w:rsid w:val="004840FD"/>
    <w:rsid w:val="00490F7D"/>
    <w:rsid w:val="00491678"/>
    <w:rsid w:val="004968E2"/>
    <w:rsid w:val="004A3EEA"/>
    <w:rsid w:val="004A4D1F"/>
    <w:rsid w:val="004B323A"/>
    <w:rsid w:val="004B7A74"/>
    <w:rsid w:val="004D5282"/>
    <w:rsid w:val="004E1720"/>
    <w:rsid w:val="004F1551"/>
    <w:rsid w:val="004F55A3"/>
    <w:rsid w:val="0050496F"/>
    <w:rsid w:val="00513B6F"/>
    <w:rsid w:val="00515B02"/>
    <w:rsid w:val="00517C63"/>
    <w:rsid w:val="0052515D"/>
    <w:rsid w:val="005363C4"/>
    <w:rsid w:val="00536BDE"/>
    <w:rsid w:val="005417C3"/>
    <w:rsid w:val="00543ACC"/>
    <w:rsid w:val="00566847"/>
    <w:rsid w:val="0056696D"/>
    <w:rsid w:val="00572847"/>
    <w:rsid w:val="0059484D"/>
    <w:rsid w:val="00597C41"/>
    <w:rsid w:val="005A0855"/>
    <w:rsid w:val="005A3196"/>
    <w:rsid w:val="005A3B6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7AA"/>
    <w:rsid w:val="00671958"/>
    <w:rsid w:val="00675843"/>
    <w:rsid w:val="00696477"/>
    <w:rsid w:val="006D050F"/>
    <w:rsid w:val="006D5642"/>
    <w:rsid w:val="006D6139"/>
    <w:rsid w:val="006E1E7A"/>
    <w:rsid w:val="006E4F25"/>
    <w:rsid w:val="006E5D65"/>
    <w:rsid w:val="006F1282"/>
    <w:rsid w:val="006F1FBC"/>
    <w:rsid w:val="006F31E2"/>
    <w:rsid w:val="00703A7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06B"/>
    <w:rsid w:val="00787C2A"/>
    <w:rsid w:val="00790E27"/>
    <w:rsid w:val="007A4022"/>
    <w:rsid w:val="007A6E6E"/>
    <w:rsid w:val="007C3299"/>
    <w:rsid w:val="007C3BCC"/>
    <w:rsid w:val="007C4546"/>
    <w:rsid w:val="007C71D9"/>
    <w:rsid w:val="007D6E56"/>
    <w:rsid w:val="007F1652"/>
    <w:rsid w:val="007F4155"/>
    <w:rsid w:val="0081554D"/>
    <w:rsid w:val="0081707E"/>
    <w:rsid w:val="008238F4"/>
    <w:rsid w:val="008449B3"/>
    <w:rsid w:val="0085747A"/>
    <w:rsid w:val="00884922"/>
    <w:rsid w:val="00885F64"/>
    <w:rsid w:val="008917F9"/>
    <w:rsid w:val="008954C1"/>
    <w:rsid w:val="008A45F7"/>
    <w:rsid w:val="008B4750"/>
    <w:rsid w:val="008C0CC0"/>
    <w:rsid w:val="008C19A9"/>
    <w:rsid w:val="008C2761"/>
    <w:rsid w:val="008C379D"/>
    <w:rsid w:val="008C5147"/>
    <w:rsid w:val="008C5359"/>
    <w:rsid w:val="008C5363"/>
    <w:rsid w:val="008D3DFB"/>
    <w:rsid w:val="008E28EA"/>
    <w:rsid w:val="008E64F4"/>
    <w:rsid w:val="008E67CE"/>
    <w:rsid w:val="008F12C9"/>
    <w:rsid w:val="008F6E29"/>
    <w:rsid w:val="00916188"/>
    <w:rsid w:val="00923D7D"/>
    <w:rsid w:val="009508DF"/>
    <w:rsid w:val="00950DAC"/>
    <w:rsid w:val="00954A07"/>
    <w:rsid w:val="00957459"/>
    <w:rsid w:val="009745C0"/>
    <w:rsid w:val="00997F14"/>
    <w:rsid w:val="009A78D9"/>
    <w:rsid w:val="009C08BD"/>
    <w:rsid w:val="009C1331"/>
    <w:rsid w:val="009C2C7C"/>
    <w:rsid w:val="009C3E31"/>
    <w:rsid w:val="009C54AE"/>
    <w:rsid w:val="009C788E"/>
    <w:rsid w:val="009D0B1C"/>
    <w:rsid w:val="009E3B41"/>
    <w:rsid w:val="009F3C5C"/>
    <w:rsid w:val="009F4610"/>
    <w:rsid w:val="00A00ECC"/>
    <w:rsid w:val="00A04859"/>
    <w:rsid w:val="00A155EE"/>
    <w:rsid w:val="00A1672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48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97"/>
    <w:rsid w:val="00B75946"/>
    <w:rsid w:val="00B8056E"/>
    <w:rsid w:val="00B819C8"/>
    <w:rsid w:val="00B82308"/>
    <w:rsid w:val="00B87573"/>
    <w:rsid w:val="00B90885"/>
    <w:rsid w:val="00BA1ABB"/>
    <w:rsid w:val="00BB520A"/>
    <w:rsid w:val="00BD26A5"/>
    <w:rsid w:val="00BD3869"/>
    <w:rsid w:val="00BD66E9"/>
    <w:rsid w:val="00BD6FF4"/>
    <w:rsid w:val="00BF2C41"/>
    <w:rsid w:val="00BF732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8C8"/>
    <w:rsid w:val="00C67E92"/>
    <w:rsid w:val="00C70A26"/>
    <w:rsid w:val="00C766DF"/>
    <w:rsid w:val="00C9140C"/>
    <w:rsid w:val="00C93E3F"/>
    <w:rsid w:val="00C94B98"/>
    <w:rsid w:val="00CA2B96"/>
    <w:rsid w:val="00CA5089"/>
    <w:rsid w:val="00CB481D"/>
    <w:rsid w:val="00CD366B"/>
    <w:rsid w:val="00CD6897"/>
    <w:rsid w:val="00CE5BAC"/>
    <w:rsid w:val="00CF150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119"/>
    <w:rsid w:val="00D608D1"/>
    <w:rsid w:val="00D64285"/>
    <w:rsid w:val="00D74119"/>
    <w:rsid w:val="00D77A86"/>
    <w:rsid w:val="00D8075B"/>
    <w:rsid w:val="00D8678B"/>
    <w:rsid w:val="00DA2114"/>
    <w:rsid w:val="00DC3990"/>
    <w:rsid w:val="00DD7FC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EC2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34F"/>
    <w:rsid w:val="00EE5457"/>
    <w:rsid w:val="00EF37A1"/>
    <w:rsid w:val="00F070AB"/>
    <w:rsid w:val="00F12C6A"/>
    <w:rsid w:val="00F17567"/>
    <w:rsid w:val="00F27A7B"/>
    <w:rsid w:val="00F526AF"/>
    <w:rsid w:val="00F5501E"/>
    <w:rsid w:val="00F617C3"/>
    <w:rsid w:val="00F7066B"/>
    <w:rsid w:val="00F750CA"/>
    <w:rsid w:val="00F83B28"/>
    <w:rsid w:val="00F91EE6"/>
    <w:rsid w:val="00FA46E5"/>
    <w:rsid w:val="00FA479E"/>
    <w:rsid w:val="00FA5875"/>
    <w:rsid w:val="00FB7DBA"/>
    <w:rsid w:val="00FC1C25"/>
    <w:rsid w:val="00FC3F45"/>
    <w:rsid w:val="00FC7F10"/>
    <w:rsid w:val="00FD503F"/>
    <w:rsid w:val="00FD58A0"/>
    <w:rsid w:val="00FD7589"/>
    <w:rsid w:val="00FE62F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BDE7"/>
  <w15:docId w15:val="{27DF95F1-815D-4064-9593-D2C8EC1D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14485-9405-4D45-B879-7EB589D4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</TotalTime>
  <Pages>1</Pages>
  <Words>2900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95</cp:revision>
  <cp:lastPrinted>2019-02-06T12:12:00Z</cp:lastPrinted>
  <dcterms:created xsi:type="dcterms:W3CDTF">2019-03-06T14:29:00Z</dcterms:created>
  <dcterms:modified xsi:type="dcterms:W3CDTF">2024-08-08T09:26:00Z</dcterms:modified>
</cp:coreProperties>
</file>